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BWaldG — Anerkennung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Forstwirtschaftliche Vereinigung wird durch die nach Landesrecht zuständige Behörde auf Antrag anerkannt, wenn sie folgende Voraussetzungen erfüllt:</w:t>
      </w:r>
    </w:p>
    <w:p>
      <w:pPr>
        <w:ind w:left="420"/>
      </w:pPr>
      <w:r>
        <w:t xml:space="preserve">1. Sie muß eine juristische Person des Privatrechts sein;</w:t>
      </w:r>
    </w:p>
    <w:p>
      <w:pPr>
        <w:ind w:left="420"/>
      </w:pPr>
      <w:r>
        <w:t xml:space="preserve">2. sie muß geeignet sein, auf die Anpassung der forstwirtschaftlichen Erzeugung und des Absatzes von Forsterzeugnissen nachhaltig hinzuwirken;</w:t>
      </w:r>
    </w:p>
    <w:p>
      <w:pPr>
        <w:ind w:left="420"/>
      </w:pPr>
      <w:r>
        <w:t xml:space="preserve">3. ihre Satzung oder ihr Gesellschaftsvertrag muß Bestimmungen enthalten über</w:t>
      </w:r>
    </w:p>
    <w:p>
      <w:pPr>
        <w:ind w:left="780"/>
      </w:pPr>
      <w:r>
        <w:t xml:space="preserve">a) ihre Aufgabe;</w:t>
      </w:r>
    </w:p>
    <w:p>
      <w:pPr>
        <w:ind w:left="780"/>
      </w:pPr>
      <w:r>
        <w:t xml:space="preserve">b) die Finanzierung der Aufgabe;</w:t>
      </w:r>
    </w:p>
    <w:p>
      <w:pPr>
        <w:ind w:left="420"/>
      </w:pPr>
      <w:r>
        <w:t xml:space="preserve">4. sie muß einen wesentlichen Wettbewerb auf dem Holzmarkt bestehen lassen.</w:t>
      </w:r>
    </w:p>
    <w:p>
      <w:r>
        <w:t xml:space="preserve">(2) Die nach Landesrecht zuständige Behörde kann den Beitritt einzelner Grundbesitzer, die nicht Mitglied einer Forstbetriebsgemeinschaft oder eines Forstbetriebsverbands sein können, zu der Forstwirtschaftlichen Vereinigung zulassen.</w:t>
      </w:r>
    </w:p>
    <w:p>
      <w:r>
        <w:t xml:space="preserve">(3) Die §§ 19 und 20 gelten entsprechend.</w:t>
      </w:r>
    </w:p>
    <w:p>
      <w:r>
        <w:rPr>
          <w:color w:val="555555"/>
          <w:sz w:val="17"/>
        </w:rPr>
        <w:t xml:space="preserve">Zitiervorschlag: § 38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