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BWaldG — Auflösung des Forstbetriebsverbandes</w:t>
      </w:r>
    </w:p>
    <w:p>
      <w:r>
        <w:rPr>
          <w:color w:val="555555"/>
          <w:sz w:val="18"/>
        </w:rPr>
        <w:t xml:space="preserve">Bundeswaldgesetz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Verbandsversammlung kann mit einer Mehrheit von mindestens drei Vierteln der Stimmen aller Mitglieder die Auflösung des Forstbetriebsverbands beschließen.</w:t>
      </w:r>
    </w:p>
    <w:p>
      <w:r>
        <w:t xml:space="preserve">(2) Der Beschluß bedarf der Genehmigung der nach Landesrecht zuständigen Behörde.</w:t>
      </w:r>
    </w:p>
    <w:p>
      <w:r>
        <w:rPr>
          <w:color w:val="555555"/>
          <w:sz w:val="17"/>
        </w:rPr>
        <w:t xml:space="preserve">Zitiervorschlag: § 36 BWaldG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https://recht.nulegal.eu/gesetze/BWaldG/36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