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BWaldG — Verbandsverzeichnis</w:t>
      </w:r>
    </w:p>
    <w:p>
      <w:r>
        <w:rPr>
          <w:color w:val="555555"/>
          <w:sz w:val="18"/>
        </w:rPr>
        <w:t xml:space="preserve">Bundeswaldgesetz</w:t>
      </w:r>
    </w:p>
    <w:p>
      <w:r>
        <w:rPr>
          <w:color w:val="555555"/>
          <w:sz w:val="18"/>
        </w:rPr>
        <w:t xml:space="preserve">Stand: 10.06.2019 (konsolidierte Textfassung, kein amtliches Inkrafttretensdatum)</w:t>
      </w:r>
    </w:p>
    <w:p>
      <w:r>
        <w:t xml:space="preserve">Der Forstbetriebsverband führt ein Verzeichnis der beteiligten Grundstücke, der Eigentümer und ihrer Stimmrechte. Die Landesregierungen werden ermächtigt, durch Rechtsverordnung Näheres über die Anlegung und Führung des Verbandsverzeichnisses zu bestimmen. Die Landesregierungen können diese Ermächtigung auf oberste Landesbehörden übertragen.</w:t>
      </w:r>
    </w:p>
    <w:p>
      <w:r>
        <w:rPr>
          <w:color w:val="555555"/>
          <w:sz w:val="17"/>
        </w:rPr>
        <w:t xml:space="preserve">Zitiervorschlag: § 35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