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BWaldG — Ausscheiden von Grundstücken</w:t>
      </w:r>
    </w:p>
    <w:p>
      <w:r>
        <w:rPr>
          <w:color w:val="555555"/>
          <w:sz w:val="18"/>
        </w:rPr>
        <w:t xml:space="preserve">Bundeswaldgesetz</w:t>
      </w:r>
    </w:p>
    <w:p>
      <w:r>
        <w:rPr>
          <w:color w:val="555555"/>
          <w:sz w:val="18"/>
        </w:rPr>
        <w:t xml:space="preserve">Stand: 10.06.2019 (konsolidierte Textfassung, kein amtliches Inkrafttretensdatum)</w:t>
      </w:r>
    </w:p>
    <w:p>
      <w:r>
        <w:t xml:space="preserve">(1) Grundstücke, deren forstwirtschaftliche Nutzung oder Bestimmung sich auf Grund einer Rechtsvorschrift oder einer behördlichen Anordnung oder Erlaubnis endgültig ändert, scheiden aus dem Verbandswald mit der Beendigung der Umwandlung aus.</w:t>
      </w:r>
    </w:p>
    <w:p>
      <w:r>
        <w:t xml:space="preserve">(2) Im übrigen bedarf das Ausscheiden eines Grundstücks aus dem Verbandswald der Genehmigung der nach Landesrecht zuständigen Behörde. Die Genehmigung darf nur erteilt werden, wenn ein wichtiger Grund vorliegt. Sie ist zu versagen, wenn das Ausscheiden die Durchführung der Aufgabe des Forstbetriebsverbands gefährden würde. Für die in § 22 Abs. 4 bezeichneten Grundstücke ist die Genehmigung zu erteilen, wenn die Nutzungsberechtigten es verlangen.</w:t>
      </w:r>
    </w:p>
    <w:p>
      <w:r>
        <w:rPr>
          <w:color w:val="555555"/>
          <w:sz w:val="17"/>
        </w:rPr>
        <w:t xml:space="preserve">Zitiervorschlag: § 32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