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BWaldG — Änderung der Satzung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eine Änderung der Satzung beschließt die Verbandsversammlung mit einer Mehrheit von mindestens zwei Dritteln der Stimmen aller Mitglieder.</w:t>
      </w:r>
    </w:p>
    <w:p>
      <w:r>
        <w:t xml:space="preserve">(2) Die Satzungsänderung bedarf der Genehmigung der nach Landesrecht zuständigen Behörde. Die Änderung wird mit ihrer öffentlichen Bekanntmachung wirksam.</w:t>
      </w:r>
    </w:p>
    <w:p>
      <w:r>
        <w:rPr>
          <w:color w:val="555555"/>
          <w:sz w:val="17"/>
        </w:rPr>
        <w:t xml:space="preserve">Zitiervorschlag: § 31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