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BWaldG — Waldeigentumsarten</w:t>
      </w:r>
    </w:p>
    <w:p>
      <w:r>
        <w:rPr>
          <w:color w:val="555555"/>
          <w:sz w:val="18"/>
        </w:rPr>
        <w:t xml:space="preserve">Bundeswaldgesetz</w:t>
      </w:r>
    </w:p>
    <w:p>
      <w:r>
        <w:rPr>
          <w:color w:val="555555"/>
          <w:sz w:val="18"/>
        </w:rPr>
        <w:t xml:space="preserve">Stand: 10.06.2019 (konsolidierte Textfassung, kein amtliches Inkrafttretensdatum)</w:t>
      </w:r>
    </w:p>
    <w:p>
      <w:r>
        <w:t xml:space="preserve">(1) Staatswald im Sinne dieses Gesetzes ist Wald, der im Alleineigentum des Bundes, eines Landes oder einer Anstalt oder Stiftung des öffentlichen Rechts steht, sowie Wald im Miteigentum eines Landes, soweit er nach landesrechtlichen Vorschriften als Staatswald angesehen wird.</w:t>
      </w:r>
    </w:p>
    <w:p>
      <w:r>
        <w:t xml:space="preserve">(2) Körperschaftswald im Sinne dieses Gesetzes ist Wald, der im Alleineigentum der Gemeinden, der Gemeindeverbände, der Zweckverbände sowie sonstiger Körperschaften des öffentlichen Rechts steht; ausgenommen ist der Wald von Religionsgemeinschaften und deren Einrichtungen, sowie von Realverbänden, Hauberggenossenschaften, Markgenossenschaften, Gehöferschaften und ähnlichen Gemeinschaften (Gemeinschaftsforsten), soweit er nicht nach landesrechtlichen Vorschriften als Körperschaftswald angesehen wird.</w:t>
      </w:r>
    </w:p>
    <w:p>
      <w:r>
        <w:t xml:space="preserve">(3) Privatwald im Sinne dieses Gesetzes ist Wald, der weder Staatswald noch Körperschaftswald ist.</w:t>
      </w:r>
    </w:p>
    <w:p>
      <w:r>
        <w:rPr>
          <w:color w:val="555555"/>
          <w:sz w:val="17"/>
        </w:rPr>
        <w:t xml:space="preserve">Zitiervorschlag: § 3 BWaldG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https://recht.nulegal.eu/gesetze/BWaldG/3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