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BWaldG — Erholungswald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Wald kann zu Erholungswald erklärt werden, wenn es das Wohl der Allgemeinheit erfordert, Waldflächen für Zwecke der Erholung zu schützen, zu pflegen oder zu gestalten.</w:t>
      </w:r>
    </w:p>
    <w:p>
      <w:r>
        <w:t xml:space="preserve">(2) Das Nähere regeln die Länder. Sie können insbesondere Vorschriften erlassen über</w:t>
      </w:r>
    </w:p>
    <w:p>
      <w:pPr>
        <w:ind w:left="420"/>
      </w:pPr>
      <w:r>
        <w:t xml:space="preserve">1. die Bewirtschaftung des Waldes nach Art und Umfang;</w:t>
      </w:r>
    </w:p>
    <w:p>
      <w:pPr>
        <w:ind w:left="420"/>
      </w:pPr>
      <w:r>
        <w:t xml:space="preserve">2. die Beschränkung der Jagdausübung zum Schutz der Waldbesucher;</w:t>
      </w:r>
    </w:p>
    <w:p>
      <w:pPr>
        <w:ind w:left="420"/>
      </w:pPr>
      <w:r>
        <w:t xml:space="preserve">3. die Verpflichtung der Waldbesitzer, den Bau, die Errichtung und die Unterhaltung von Wegen, Bänken, Schutzhütten und ähnlichen Anlagen oder Einrichtungen und die Beseitigung von störenden Anlagen oder Einrichtungen zu dulden;</w:t>
      </w:r>
    </w:p>
    <w:p>
      <w:pPr>
        <w:ind w:left="420"/>
      </w:pPr>
      <w:r>
        <w:t xml:space="preserve">4. das Verhalten der Waldbesucher.</w:t>
      </w:r>
    </w:p>
    <w:p>
      <w:r>
        <w:rPr>
          <w:color w:val="555555"/>
          <w:sz w:val="17"/>
        </w:rPr>
        <w:t xml:space="preserve">Zitiervorschlag: § 13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