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BWaldG — Schutzwald</w:t>
      </w:r>
    </w:p>
    <w:p>
      <w:r>
        <w:rPr>
          <w:color w:val="555555"/>
          <w:sz w:val="18"/>
        </w:rPr>
        <w:t xml:space="preserve">Bundeswaldgesetz</w:t>
      </w:r>
    </w:p>
    <w:p>
      <w:r>
        <w:rPr>
          <w:color w:val="555555"/>
          <w:sz w:val="18"/>
        </w:rPr>
        <w:t xml:space="preserve">Stand: 10.06.2019 (konsolidierte Textfassung, kein amtliches Inkrafttretensdatum)</w:t>
      </w:r>
    </w:p>
    <w:p>
      <w:r>
        <w:t xml:space="preserve">(1) Wald kann zu Schutzwald erklärt werden, wenn es zur Abwehr oder Verhütung von Gefahren, erheblichen Nachteilen oder erheblichen Belästigungen für die Allgemeinheit notwendig ist, bestimmte forstliche Maßnahmen durchzuführen oder zu unterlassen. Die Erklärung zu Schutzwald kommt insbesondere in Betracht zum Schutz gegen schädliche Umwelteinwirkungen im Sinne des Bundes-Immissionsschutzgesetzes vom 15. März 1974 (Bundesgesetzbl. I S. 721), Erosion durch Wasser und Wind, Austrocknung, schädliches Abfließen von Niederschlagswasser und Lawinen. § 10 des Bundesfernstraßengesetzes und § 51 Absatz 1 Satz 1 Nummer 3 des Wasserhaushaltsgesetzes bleiben unberührt.</w:t>
      </w:r>
    </w:p>
    <w:p>
      <w:r>
        <w:t xml:space="preserve">(2) Einer Erklärung zu Schutzwald nach Absatz 1 bedarf es nicht, wenn die Schutzwaldeigenschaft unmittelbar auf Grund landesrechtlicher Vorschriften gegeben ist.</w:t>
      </w:r>
    </w:p>
    <w:p>
      <w:r>
        <w:t xml:space="preserve">(3) Ein Kahlhieb oder eine diesem in der Wirkung gleichkommende Lichthauung bedarf im Schutzwald der Genehmigung der nach Landesrecht zuständigen Behörde. Die Genehmigung kann mit Auflagen verbunden werden, soweit dies zur Erhaltung der Funktionen des Waldes erforderlich ist.</w:t>
      </w:r>
    </w:p>
    <w:p>
      <w:r>
        <w:t xml:space="preserve">(4) Das Nähere regeln die Länder. Sie können durch weitergehende Vorschriften den Waldbesitzer verpflichten, bestimmte Maßnahmen im Schutzwald zu unterlassen oder durchzuführen.</w:t>
      </w:r>
    </w:p>
    <w:p>
      <w:r>
        <w:rPr>
          <w:color w:val="555555"/>
          <w:sz w:val="17"/>
        </w:rPr>
        <w:t xml:space="preserve">Zitiervorschlag: § 12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