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BWaldG — Erstaufforstung</w:t>
      </w:r>
    </w:p>
    <w:p>
      <w:r>
        <w:rPr>
          <w:color w:val="555555"/>
          <w:sz w:val="18"/>
        </w:rPr>
        <w:t xml:space="preserve">Bundeswaldgesetz</w:t>
      </w:r>
    </w:p>
    <w:p>
      <w:r>
        <w:rPr>
          <w:color w:val="555555"/>
          <w:sz w:val="18"/>
        </w:rPr>
        <w:t xml:space="preserve">Stand: 10.06.2019 (konsolidierte Textfassung, kein amtliches Inkrafttretensdatum)</w:t>
      </w:r>
    </w:p>
    <w:p>
      <w:r>
        <w:t xml:space="preserve">(1) Die Erstaufforstung von Flächen bedarf der Genehmigung der nach Landesrecht zuständigen Behörde. Die Genehmigung darf nur versagt werden, wenn Erfordernisse der Raumordnung und Landesplanung der Aufforstung entgegenstehen und ihnen nicht durch Auflagen entsprochen werden kann. § 9 Abs. 1 Satz 2 gilt entsprechend.</w:t>
      </w:r>
    </w:p>
    <w:p>
      <w:r>
        <w:t xml:space="preserve">(2) Die Länder können bestimmen, daß die Erstaufforstung</w:t>
      </w:r>
    </w:p>
    <w:p>
      <w:pPr>
        <w:ind w:left="420"/>
      </w:pPr>
      <w:r>
        <w:t xml:space="preserve">1. keiner Genehmigung bedarf, wenn für eine Fläche auf Grund anderer öffentlich-rechtlicher Vorschriften die Aufforstung rechtsverbindlich festgesetzt worden ist oder Erfordernisse der Raumordnung und Landesplanung nicht berührt werden;</w:t>
      </w:r>
    </w:p>
    <w:p>
      <w:pPr>
        <w:ind w:left="420"/>
      </w:pPr>
      <w:r>
        <w:t xml:space="preserve">2. weiteren Einschränkungen unterworfen oder auch untersagt wird.</w:t>
      </w:r>
    </w:p>
    <w:p>
      <w:r>
        <w:rPr>
          <w:color w:val="555555"/>
          <w:sz w:val="17"/>
        </w:rPr>
        <w:t xml:space="preserve">Zitiervorschlag: § 10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