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BWaldG — Gesetzeszweck</w:t>
      </w:r>
    </w:p>
    <w:p>
      <w:r>
        <w:rPr>
          <w:color w:val="555555"/>
          <w:sz w:val="18"/>
        </w:rPr>
        <w:t xml:space="preserve">Bundeswaldgesetz</w:t>
      </w:r>
    </w:p>
    <w:p>
      <w:r>
        <w:rPr>
          <w:color w:val="555555"/>
          <w:sz w:val="18"/>
        </w:rPr>
        <w:t xml:space="preserve">Stand: 10.06.2019 (konsolidierte Textfassung, kein amtliches Inkrafttretensdatum)</w:t>
      </w:r>
    </w:p>
    <w:p>
      <w:r>
        <w:t xml:space="preserve">Zweck dieses Gesetzes ist insbesondere,</w:t>
      </w:r>
    </w:p>
    <w:p>
      <w:pPr>
        <w:ind w:left="420"/>
      </w:pPr>
      <w:r>
        <w:t xml:space="preserve">1. den Wald wegen seines wirtschaftlichen Nutzens (Nutzfunktion) und wegen seiner Bedeutung für die Umwelt, insbesondere für die dauernde Leistungsfähigkeit des Naturhaushaltes, das Klima, den Wasserhaushalt, die Reinhaltung der Luft, die Bodenfruchtbarkeit, das Landschaftsbild, die Agrar- und Infrastruktur und die Erholung der Bevölkerung (Schutz- und Erholungsfunktion) zu erhalten, erforderlichenfalls zu mehren und seine ordnungsgemäße Bewirtschaftung nachhaltig zu sichern,</w:t>
      </w:r>
    </w:p>
    <w:p>
      <w:pPr>
        <w:ind w:left="420"/>
      </w:pPr>
      <w:r>
        <w:t xml:space="preserve">2. die Forstwirtschaft zu fördern und</w:t>
      </w:r>
    </w:p>
    <w:p>
      <w:pPr>
        <w:ind w:left="420"/>
      </w:pPr>
      <w:r>
        <w:t xml:space="preserve">3. einen Ausgleich zwischen dem Interesse der Allgemeinheit und den Belangen der Waldbesitzer herbeizuführen.</w:t>
      </w:r>
    </w:p>
    <w:p>
      <w:r>
        <w:rPr>
          <w:color w:val="555555"/>
          <w:sz w:val="17"/>
        </w:rPr>
        <w:t xml:space="preserve">Zitiervorschlag: § 1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