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BWahlGV</w:t>
      </w:r>
    </w:p>
    <w:p>
      <w:r>
        <w:rPr>
          <w:color w:val="555555"/>
          <w:sz w:val="18"/>
        </w:rPr>
        <w:t xml:space="preserve">Bundeswahlgeräteverordnung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35 Abs. 3 und des § 52 des Bundeswahlgesetzes in der Fassung der Bekanntmachung vom 1. September 1975 (Bundesgesetzbl. I S. 2325) wird im Einvernehmen mit dem Bundesminister für Wirtschaft verordnet:</w:t>
      </w:r>
    </w:p>
    <w:p>
      <w:r>
        <w:rPr>
          <w:color w:val="555555"/>
          <w:sz w:val="17"/>
        </w:rPr>
        <w:t xml:space="preserve">Zitiervorschlag: Eingangsformel BWahlGV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https://recht.nulegal.eu/gesetze/BWahlGV/eingangsformel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