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BWahlGV — Wahlzelle</w:t>
      </w:r>
    </w:p>
    <w:p>
      <w:r>
        <w:rPr>
          <w:color w:val="555555"/>
          <w:sz w:val="18"/>
        </w:rPr>
        <w:t xml:space="preserve">Bundeswahlgeräteverordnung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Jedes Wahlgerät ist in der Wahlzelle so aufzustellen, daß jeder Wähler seine Stimmen unbeobachtet abgeben kann.</w:t>
      </w:r>
    </w:p>
    <w:p>
      <w:r>
        <w:t xml:space="preserve">(2) Die gerätespezifische Darstellung der Wahlvorschläge bei Bundestagswahlen ist so anzuordnen, daß sich die Wahlvorschläge für die Erststimmen vom Wähler aus gesehen links oder oben befinden.</w:t>
      </w:r>
    </w:p>
    <w:p>
      <w:r>
        <w:rPr>
          <w:color w:val="555555"/>
          <w:sz w:val="17"/>
        </w:rPr>
        <w:t xml:space="preserve">Zitiervorschlag: § 9 BWahlGV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https://recht.nulegal.eu/gesetze/BWahlGV/9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