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BWahlGV — Geltung der Bundeswahlordnung und der Europawahlordnung</w:t>
      </w:r>
    </w:p>
    <w:p>
      <w:r>
        <w:rPr>
          <w:color w:val="555555"/>
          <w:sz w:val="18"/>
        </w:rPr>
        <w:t xml:space="preserve">Bundeswahlgeräteverordnung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Soweit sich aus den Vorschriften dieser Verordnung nicht etwas anderes ergibt, gelten auch bei der Verwendung von Wahlgeräten die Vorschriften der Bundeswahlordnung oder der Europawahlordnung.</w:t>
      </w:r>
    </w:p>
    <w:p>
      <w:r>
        <w:rPr>
          <w:color w:val="555555"/>
          <w:sz w:val="17"/>
        </w:rPr>
        <w:t xml:space="preserve">Zitiervorschlag: § 5 BWahlGV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https://recht.nulegal.eu/gesetze/BWahlGV/5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