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BWahlGV — Inkrafttreten</w:t>
      </w:r>
    </w:p>
    <w:p>
      <w:r>
        <w:rPr>
          <w:color w:val="555555"/>
          <w:sz w:val="18"/>
        </w:rPr>
        <w:t xml:space="preserve">Bundeswahlgeräteverordnung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20 BWahlGV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https://recht.nulegal.eu/gesetze/BWahlGV/20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