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BWahlGV</w:t>
      </w:r>
    </w:p>
    <w:p>
      <w:r>
        <w:rPr>
          <w:color w:val="555555"/>
          <w:sz w:val="18"/>
        </w:rPr>
        <w:t xml:space="preserve">Bundeswahlgeräteverordnung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§ 19 BWahlGV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https://recht.nulegal.eu/gesetze/BWahlGV/19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