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BWahlGV — Übergangsbestimmung</w:t>
      </w:r>
    </w:p>
    <w:p>
      <w:r>
        <w:rPr>
          <w:color w:val="555555"/>
          <w:sz w:val="18"/>
        </w:rPr>
        <w:t xml:space="preserve">Bundeswahlgeräteverordnung</w:t>
      </w:r>
    </w:p>
    <w:p>
      <w:r>
        <w:rPr>
          <w:color w:val="555555"/>
          <w:sz w:val="18"/>
        </w:rPr>
        <w:t xml:space="preserve">Stand: 10.06.2019 (konsolidierte Textfassung, kein amtliches Inkrafttretensdatum)</w:t>
      </w:r>
    </w:p>
    <w:p>
      <w:r>
        <w:t xml:space="preserve">Für Wahlgeräte einer Bauart, die bereits für die Wahlen zum 14. Deutschen Bundestag oder die Europawahlen 1994 zugelassen worden ist, gilt die Bauartzulassung im Rahmen des jeweiligen Zulassungserlasses des Bundesministeriums des Innern allgemein für Wahlen zum Deutschen Bundestag oder Europawahlen als erteilt. § 8 Abs. 1 Nr. 6 ist auf diese Wahlgeräte nicht anzuwenden.</w:t>
      </w:r>
    </w:p>
    <w:p>
      <w:r>
        <w:rPr>
          <w:color w:val="555555"/>
          <w:sz w:val="17"/>
        </w:rPr>
        <w:t xml:space="preserve">Zitiervorschlag: § 18 BWahlGV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https://recht.nulegal.eu/gesetze/BWahlGV/18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