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BWahlGV — Schluß der Wahlhandlung</w:t>
      </w:r>
    </w:p>
    <w:p>
      <w:r>
        <w:rPr>
          <w:color w:val="555555"/>
          <w:sz w:val="18"/>
        </w:rPr>
        <w:t xml:space="preserve">Bundeswahlgeräteverordnung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Wahlvorsteher hat nach Schließung der Wahlhandlung jedes Wahlgerät oder die Stimmenspeicher gegen jede weitere Stimmabgabe zu sperren und die Sperrung, sofern diese rückgängig gemacht werden kann, zu versiegeln.</w:t>
      </w:r>
    </w:p>
    <w:p>
      <w:r>
        <w:rPr>
          <w:color w:val="555555"/>
          <w:sz w:val="17"/>
        </w:rPr>
        <w:t xml:space="preserve">Zitiervorschlag: § 12 BWahlGV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https://recht.nulegal.eu/gesetze/BWahlGV/12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