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BWahlG — Gliederung der Wahlorgane</w:t>
      </w:r>
    </w:p>
    <w:p>
      <w:r>
        <w:rPr>
          <w:color w:val="555555"/>
          <w:sz w:val="18"/>
        </w:rPr>
        <w:t xml:space="preserve">Bundeswahlgesetz</w:t>
      </w:r>
    </w:p>
    <w:p>
      <w:r>
        <w:rPr>
          <w:color w:val="555555"/>
          <w:sz w:val="18"/>
        </w:rPr>
        <w:t xml:space="preserve">Stand: 10.06.2019 (konsolidierte Textfassung, kein amtliches Inkrafttretensdatum)</w:t>
      </w:r>
    </w:p>
    <w:p>
      <w:r>
        <w:t xml:space="preserve">(1) Wahlorgane sind der Bundeswahlleiter und der Bundeswahlausschuß für das Wahlgebiet, ein Landeswahlleiter und ein Landeswahlausschuß für jedes Land, ein Kreiswahlleiter und ein Kreiswahlausschuß für jeden Wahlkreis, ein Wahlvorsteher und ein Wahlvorstand für jeden Wahlbezirk und mindestens ein Wahlvorsteher und ein Wahlvorstand für jeden Wahlkreis zur Feststellung des Briefwahlergebnisses. Wieviel Briefwahlvorstände zu bilden sind, um das Ergebnis der Briefwahl noch am Wahltage feststellen zu können, bestimmt der Kreiswahlleiter.</w:t>
      </w:r>
    </w:p>
    <w:p>
      <w:r>
        <w:t xml:space="preserve">(2) Für mehrere benachbarte Wahlkreise kann ein gemeinsamer Kreiswahlleiter bestellt und ein gemeinsamer Kreiswahlausschuß gebildet werden; die Anordnung trifft der Landeswahlleiter.</w:t>
      </w:r>
    </w:p>
    <w:p>
      <w:r>
        <w:t xml:space="preserve">(3) Zur Feststellung des Briefwahlergebnisses können Wahlvorsteher und Wahlvorstände statt für jeden Wahlkreis für einzelne oder mehrere Gemeinden oder für einzelne Kreise innerhalb des Wahlkreises eingesetzt werden; die Anordnung trifft die Landesregierung oder die von ihr bestimmte Stelle.</w:t>
      </w:r>
    </w:p>
    <w:p>
      <w:r>
        <w:rPr>
          <w:color w:val="555555"/>
          <w:sz w:val="17"/>
        </w:rPr>
        <w:t xml:space="preserve">Zitiervorschlag: § 8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