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49a BWahlG — Ordnungswidrigkeiten</w:t>
      </w:r>
    </w:p>
    <w:p>
      <w:r>
        <w:rPr>
          <w:color w:val="555555"/>
          <w:sz w:val="18"/>
        </w:rPr>
        <w:t xml:space="preserve">Bundeswahlgesetz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11 ohne wichtigen Grund ein Ehrenamt ablehnt oder sich ohne genügende Entschuldigung den Pflichten eines solchen entzieht oder</w:t>
      </w:r>
    </w:p>
    <w:p>
      <w:pPr>
        <w:ind w:left="420"/>
      </w:pPr>
      <w:r>
        <w:t xml:space="preserve">2. entgegen § 32 Abs. 2 Ergebnisse von Wählerbefragungen nach der Stimmabgabe über den Inhalt der Wahlentscheidung vor Ablauf der Wahlzeit veröffentlicht.</w:t>
      </w:r>
    </w:p>
    <w:p>
      <w:r>
        <w:t xml:space="preserve">(2) Die Ordnungswidrigkeit nach Absatz 1 Nr. 1 kann mit einer Geldbuße bis zu fünfhundert Euro, die Ordnungswidrigkeit nach Absatz 1 Nr. 2 mit einer Geldbuße bis zu fünfzigtausend Euro geahndet werden.</w:t>
      </w:r>
    </w:p>
    <w:p>
      <w:r>
        <w:t xml:space="preserve">(3) Verwaltungsbehörde im Sinne des § 36 Abs. 1 Nr. 1 des Gesetzes über Ordnungswidrigkeiten ist</w:t>
      </w:r>
    </w:p>
    <w:p>
      <w:pPr>
        <w:ind w:left="420"/>
      </w:pPr>
      <w:r>
        <w:t xml:space="preserve">1. bei Ordnungswidrigkeiten nach Absatz 1 Nr. 1</w:t>
      </w:r>
    </w:p>
    <w:p>
      <w:pPr>
        <w:ind w:left="780"/>
      </w:pPr>
      <w:r>
        <w:t xml:space="preserve">a) der Kreiswahlleiter, wenn ein Wahlberechtigter das Amt eines Wahlvorstehers, stellvertretenden Wahlvorstehers oder eines Beisitzers im Wahlvorstand oder im Kreiswahlausschuß,</w:t>
      </w:r>
    </w:p>
    <w:p>
      <w:pPr>
        <w:ind w:left="780"/>
      </w:pPr>
      <w:r>
        <w:t xml:space="preserve">b) der Landeswahlleiter, wenn ein Wahlberechtigter das Amt eines Beisitzers im Landeswahlausschuß,</w:t>
      </w:r>
    </w:p>
    <w:p>
      <w:pPr>
        <w:ind w:left="780"/>
      </w:pPr>
      <w:r>
        <w:t xml:space="preserve">c) der Bundeswahlleiter, wenn ein Wahlberechtigter das Amt eines Beisitzers im Bundeswahlausschuß</w:t>
      </w:r>
    </w:p>
    <w:p>
      <w:pPr>
        <w:ind w:left="420"/>
      </w:pPr>
      <w:r>
        <w:t xml:space="preserve">unberechtigt ablehnt oder sich ohne genügende Entschuldigung den Pflichten eines solchen Amtes entzieht,</w:t>
      </w:r>
    </w:p>
    <w:p>
      <w:pPr>
        <w:ind w:left="420"/>
      </w:pPr>
      <w:r>
        <w:t xml:space="preserve">2. bei Ordnungswidrigkeiten nach Absatz 1 Nr. 2 der Bundeswahlleiter.</w:t>
      </w:r>
    </w:p>
    <w:p>
      <w:r>
        <w:rPr>
          <w:color w:val="555555"/>
          <w:sz w:val="17"/>
        </w:rPr>
        <w:t xml:space="preserve">Zitiervorschlag: § 49a BWahlG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https://recht.nulegal.eu/gesetze/BWahlG/49a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