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BWahlG — Erwerb der Mitgliedschaft im Deutschen Bundestag</w:t>
      </w:r>
    </w:p>
    <w:p>
      <w:r>
        <w:rPr>
          <w:color w:val="555555"/>
          <w:sz w:val="18"/>
        </w:rPr>
        <w:t xml:space="preserve">Bundeswahlgesetz</w:t>
      </w:r>
    </w:p>
    <w:p>
      <w:r>
        <w:rPr>
          <w:color w:val="555555"/>
          <w:sz w:val="18"/>
        </w:rPr>
        <w:t xml:space="preserve">Stand: 25.06.2023 (konsolidierte Textfassung, kein amtliches Inkrafttretensdatum)</w:t>
      </w:r>
    </w:p>
    <w:p>
      <w:r>
        <w:t xml:space="preserve">(1) Ein gewählter Bewerber erwirbt die Mitgliedschaft im Deutschen Bundestag nach der abschließenden Feststellung des Ergebnisses für das Wahlgebiet durch den Bundeswahlausschuss (§ 42 Absatz 3 Satz 1) mit der Eröffnung der ersten Sitzung des Deutschen Bundestages nach der Wahl. Eine Ablehnung des Erwerbs der Mitgliedschaft muss vor der ersten Sitzung gegenüber dem Landeswahlleiter schriftlich erklärt werden. Eine Erklärung unter Vorbehalt gilt als Ablehnung. Die Erklärung kann nicht widerrufen werden.</w:t>
      </w:r>
    </w:p>
    <w:p>
      <w:r>
        <w:t xml:space="preserve">(2) Bei einer Nachfolge (§ 48 Abs. 1) oder einer Wiederholungswahl (§ 44) wird die Mitgliedschaft im Deutschen Bundestag mit dem frist- und formgerechten Eingang der auf die Benachrichtigung erfolgenden Annahmeerklärung beim zuständigen Wahlleiter, jedoch nicht vor Ausscheiden des ursprünglich gewählten Abgeordneten erworben. Liegt bei Ablehnung des Erwerbs der Mitgliedschaft im Deutschen Bundestag durch einen gewählten Bewerber die Annahmeerklärung des Nachfolgers bereits vor der ersten Sitzung des Deutschen Bundestages nach der Wahl vor, erwirbt der Nachfolger das Mandat mit der Eröffnung dieser Sitzung. Gibt der Nachfolger oder durch Wiederholungswahl gewählte Bewerber bis zum Ablauf der Frist keine oder keine formgerechte Erklärung ab, so gilt die Nachfolge oder Wahl zu diesem Zeitpunkt als angenommen. Absatz 1 Satz 3 und 4 gilt entsprechend.</w:t>
      </w:r>
    </w:p>
    <w:p>
      <w:r>
        <w:rPr>
          <w:color w:val="555555"/>
          <w:sz w:val="17"/>
        </w:rPr>
        <w:t xml:space="preserve">Zitiervorschlag: § 45 BWahlG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