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BWahlG — Nachwahl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Nachwahl findet statt,</w:t>
      </w:r>
    </w:p>
    <w:p>
      <w:pPr>
        <w:ind w:left="420"/>
      </w:pPr>
      <w:r>
        <w:t xml:space="preserve">1. wenn in einem Wahlkreis oder in einem Wahlbezirk die Wahl nicht durchgeführt worden ist,</w:t>
      </w:r>
    </w:p>
    <w:p>
      <w:pPr>
        <w:ind w:left="420"/>
      </w:pPr>
      <w:r>
        <w:t xml:space="preserve">2. wenn ein Wahlkreisbewerber nach der Zulassung des Kreiswahlvorschlages, aber noch vor der Wahl stirbt.</w:t>
      </w:r>
    </w:p>
    <w:p>
      <w:r>
        <w:t xml:space="preserve">(2) Die Nachwahl soll im Fall des Absatzes 1 Nr. 1 spätestens drei Wochen nach dem Tag der Hauptwahl stattfinden. Im Fall des Absatzes 1 Nr. 2 kann sie am Tag der Hauptwahl stattfinden; sie soll spätestens sechs Wochen nach dem Tag der Hauptwahl stattfinden. Den Tag der Nachwahl bestimmt der Landeswahlleiter.</w:t>
      </w:r>
    </w:p>
    <w:p>
      <w:r>
        <w:t xml:space="preserve">(3) Die Nachwahl findet nach denselben Vorschriften und auf denselben Grundlagen wie die Hauptwahl statt.</w:t>
      </w:r>
    </w:p>
    <w:p>
      <w:r>
        <w:t xml:space="preserve">(4) Im Fall einer Nachwahl ist das vorläufige Ergebnis der Hauptwahl unmittelbar im Anschluss an die Wahlhandlung der Hauptwahl auf der Grundlage der erfolgten Stimmabgaben zu ermitteln, festzustellen und bekannt zu geben.</w:t>
      </w:r>
    </w:p>
    <w:p>
      <w:r>
        <w:rPr>
          <w:color w:val="555555"/>
          <w:sz w:val="17"/>
        </w:rPr>
        <w:t xml:space="preserve">Zitiervorschlag: § 43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BWahlG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