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BWahlG — Feststellung des Wahlergebnisses im Wahlbezirk</w:t>
      </w:r>
    </w:p>
    <w:p>
      <w:r>
        <w:rPr>
          <w:color w:val="555555"/>
          <w:sz w:val="18"/>
        </w:rPr>
        <w:t xml:space="preserve">Bundeswahlgesetz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Beendigung der Wahlhandlung stellt der Wahlvorstand fest, wieviel Stimmen im Wahlbezirk auf die einzelnen Kreiswahlvorschläge und Landeslisten abgegeben worden sind.</w:t>
      </w:r>
    </w:p>
    <w:p>
      <w:r>
        <w:rPr>
          <w:color w:val="555555"/>
          <w:sz w:val="17"/>
        </w:rPr>
        <w:t xml:space="preserve">Zitiervorschlag: § 37 BWahlG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https://recht.nulegal.eu/gesetze/BWahlG/37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