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 BWahlG — Briefwahl</w:t>
      </w:r>
    </w:p>
    <w:p>
      <w:r>
        <w:rPr>
          <w:color w:val="555555"/>
          <w:sz w:val="18"/>
        </w:rPr>
        <w:t xml:space="preserve">Bundeswahlgesetz</w:t>
      </w:r>
    </w:p>
    <w:p>
      <w:r>
        <w:rPr>
          <w:color w:val="555555"/>
          <w:sz w:val="18"/>
        </w:rPr>
        <w:t xml:space="preserve">Stand: 10.06.2019 (konsolidierte Textfassung, kein amtliches Inkrafttretensdatum)</w:t>
      </w:r>
    </w:p>
    <w:p>
      <w:r>
        <w:t xml:space="preserve">(1) Bei der Briefwahl hat der Wähler dem Kreiswahlleiter des Wahlkreises, in dem der Wahlschein ausgestellt worden ist, im verschlossenen Wahlbriefumschlag</w:t>
      </w:r>
    </w:p>
    <w:p>
      <w:pPr>
        <w:ind w:left="420"/>
      </w:pPr>
      <w:r>
        <w:t xml:space="preserve">a) seinen Wahlschein,</w:t>
      </w:r>
    </w:p>
    <w:p>
      <w:pPr>
        <w:ind w:left="420"/>
      </w:pPr>
      <w:r>
        <w:t xml:space="preserve">b) in einem besonderen verschlossenen Stimmzettelumschlag seinen Stimmzettel</w:t>
      </w:r>
    </w:p>
    <w:p>
      <w:r>
        <w:t xml:space="preserve">so rechtzeitig zu übersenden, daß der Wahlbrief spätestens am Wahltage bis 18 Uhr eingeht. § 33 Abs. 2 gilt entsprechend.</w:t>
      </w:r>
    </w:p>
    <w:p>
      <w:r>
        <w:t xml:space="preserve">(2) Auf dem Wahlschein hat der Wähler oder die Hilfsperson gegenüber dem Kreiswahlleiter an Eides Statt zu versichern, daß der Stimmzettel persönlich oder gemäß dem erklärten Willen des Wählers gekennzeichnet worden ist. Der Kreiswahlleiter ist zur Abnahme einer solchen Versicherung an Eides Statt zuständig; er gilt als Behörde im Sinne des § 156 des Strafgesetzbuches.</w:t>
      </w:r>
    </w:p>
    <w:p>
      <w:r>
        <w:t xml:space="preserve">(3) Im Falle einer Anordnung der Landesregierung oder der von ihr bestimmten Stelle nach § 8 Abs. 3 tritt an die Stelle des Kreiswahlleiters in Absatz 1 Satz 1 und in Absatz 2 die Gemeindebehörde, die den Wahlschein ausgestellt hat, oder die Verwaltungsbehörde des Kreises, in dem diese Gemeinde liegt.</w:t>
      </w:r>
    </w:p>
    <w:p>
      <w:r>
        <w:t xml:space="preserve">(4) Wahlbriefe können von den Absendern bei einem vor der Wahl amtlich bekannt gemachten Postunternehmen als Briefsendungen ohne besondere Versendungsform unentgeltlich eingeliefert werden, wenn sie sich in amtlichen Wahlbriefumschlägen befinden. Bei Inanspruchnahme einer besonderen Versendungsform hat der Absender den das jeweils für die Briefbeförderung gültige Leistungsentgelt übersteigenden Betrag zu tragen. Der Bund trägt die Kosten für die unentgeltliche Wahlbriefbeförderung.</w:t>
      </w:r>
    </w:p>
    <w:p>
      <w:r>
        <w:rPr>
          <w:color w:val="555555"/>
          <w:sz w:val="17"/>
        </w:rPr>
        <w:t xml:space="preserve">Zitiervorschlag: § 36 BWahlG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https://recht.nulegal.eu/gesetze/BWahlG/36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