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35 BWahlG — Stimmabgabe mit Wahlgeräten</w:t>
      </w:r>
    </w:p>
    <w:p>
      <w:r>
        <w:rPr>
          <w:color w:val="555555"/>
          <w:sz w:val="18"/>
        </w:rPr>
        <w:t xml:space="preserve">Bundeswahlgesetz</w:t>
      </w:r>
    </w:p>
    <w:p>
      <w:r>
        <w:rPr>
          <w:color w:val="555555"/>
          <w:sz w:val="18"/>
        </w:rPr>
        <w:t xml:space="preserve">Stand: 15.03.2024 (konsolidierte Textfassung, kein amtliches Inkrafttretensdatum)</w:t>
      </w:r>
    </w:p>
    <w:p>
      <w:r>
        <w:t xml:space="preserve">(1) Zur Erleichterung der Abgabe und Zählung der Stimmen können anstelle von Stimmzetteln und Wahlurnen Wahlgeräte benutzt werden.</w:t>
      </w:r>
    </w:p>
    <w:p>
      <w:r>
        <w:t xml:space="preserve">(2) Wahlgeräte im Sinne von Absatz 1 müssen die Geheimhaltung der Stimmabgabe gewährleisten. Ihre Bauart muß für die Verwendung bei Wahlen zum Deutschen Bundestag amtlich für einzelne Wahlen oder allgemein zugelassen sein. Über die Zulassung entscheidet das Bundesministerium des Innern und für Heimat auf Antrag des Herstellers des Wahlgerätes. Die Verwendung eines amtlich zugelassenen Wahlgerätes bedarf der Genehmigung durch das Bundesministerium des Innern und für Heimat. Die Genehmigung kann für einzelne Wahlen oder allgemein ausgesprochen werden.</w:t>
      </w:r>
    </w:p>
    <w:p>
      <w:r>
        <w:t xml:space="preserve">(3) Das Bundesministerium des Innern und für Heimat wird ermächtigt, durch Rechtsverordnung, die nicht der Zustimmung des Bundesrates bedarf, nähere Bestimmungen zu erlassen über</w:t>
      </w:r>
    </w:p>
    <w:p>
      <w:pPr>
        <w:ind w:left="420"/>
      </w:pPr>
      <w:r>
        <w:t xml:space="preserve">1. die Voraussetzungen für die amtliche Zulassung der Bauart von Wahlgeräten sowie für die Rücknahme und den Widerruf der Zulassung,</w:t>
      </w:r>
    </w:p>
    <w:p>
      <w:pPr>
        <w:ind w:left="420"/>
      </w:pPr>
      <w:r>
        <w:t xml:space="preserve">2. das Verfahren für die amtliche Zulassung der Bauart,</w:t>
      </w:r>
    </w:p>
    <w:p>
      <w:pPr>
        <w:ind w:left="420"/>
      </w:pPr>
      <w:r>
        <w:t xml:space="preserve">3. das Verfahren für die Prüfung eines Wahlgerätes auf die der amtlich zugelassenen Bauart entsprechende Ausführung,</w:t>
      </w:r>
    </w:p>
    <w:p>
      <w:pPr>
        <w:ind w:left="420"/>
      </w:pPr>
      <w:r>
        <w:t xml:space="preserve">4. die öffentliche Erprobung eines Wahlgerätes vor seiner Verwendung,</w:t>
      </w:r>
    </w:p>
    <w:p>
      <w:pPr>
        <w:ind w:left="420"/>
      </w:pPr>
      <w:r>
        <w:t xml:space="preserve">5. das Verfahren für die amtliche Genehmigung der Verwendung sowie für die Rücknahme und den Widerruf der Genehmigung,</w:t>
      </w:r>
    </w:p>
    <w:p>
      <w:pPr>
        <w:ind w:left="420"/>
      </w:pPr>
      <w:r>
        <w:t xml:space="preserve">6. die durch die Verwendung von Wahlgeräten bedingten Besonderheiten im Zusammenhang mit der Wahl.</w:t>
      </w:r>
    </w:p>
    <w:p>
      <w:r>
        <w:t xml:space="preserve">Die Rechtsverordnung ergeht in den Fällen der Nummern 1 und 3 im Einvernehmen mit dem Bundesministerium für Wirtschaft und Energie.</w:t>
      </w:r>
    </w:p>
    <w:p>
      <w:r>
        <w:t xml:space="preserve">(4) Für die Betätigung eines Wahlgerätes gilt § 33 Abs. 1 Satz 1 und Abs. 2 entsprechend.</w:t>
      </w:r>
    </w:p>
    <w:p>
      <w:r>
        <w:rPr>
          <w:color w:val="555555"/>
          <w:sz w:val="17"/>
        </w:rPr>
        <w:t xml:space="preserve">Zitiervorschlag: § 35 BWahlG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https://recht.nulegal.eu/gesetze/BWahlG/35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