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BWahlG — Wahrung des Wahlgeheimnisses</w:t>
      </w:r>
    </w:p>
    <w:p>
      <w:r>
        <w:rPr>
          <w:color w:val="555555"/>
          <w:sz w:val="18"/>
        </w:rPr>
        <w:t xml:space="preserve">Bundeswahlgesetz</w:t>
      </w:r>
    </w:p>
    <w:p>
      <w:r>
        <w:rPr>
          <w:color w:val="555555"/>
          <w:sz w:val="18"/>
        </w:rPr>
        <w:t xml:space="preserve">Stand: 10.07.2019 (konsolidierte Textfassung, kein amtliches Inkrafttretensdatum)</w:t>
      </w:r>
    </w:p>
    <w:p>
      <w:r>
        <w:t xml:space="preserve">(1) Es sind Vorkehrungen dafür zu treffen, dass der Wähler den Stimmzettel unbeobachtet kennzeichnen und falten kann. Für die Aufnahme der Stimmzettel sind Wahlurnen zu verwenden, die die Wahrung des Wahlgeheimnisses sicherstellen.</w:t>
      </w:r>
    </w:p>
    <w:p>
      <w:r>
        <w:t xml:space="preserve">(2) Die nach § 14 Absatz 5 zulässige Hilfe bei der Stimmabgabe bleibt unberührt. Die Hilfsperson ist zur Geheimhaltung der Kenntnisse verpflichtet, die sie bei der Hilfeleistung von der Wahl einer anderen Person erlangt hat.</w:t>
      </w:r>
    </w:p>
    <w:p>
      <w:r>
        <w:rPr>
          <w:color w:val="555555"/>
          <w:sz w:val="17"/>
        </w:rPr>
        <w:t xml:space="preserve">Zitiervorschlag: § 33 BWahlG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https://recht.nulegal.eu/gesetze/BWahlG/33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