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BWO 1985 — Wahlräume</w:t>
      </w:r>
    </w:p>
    <w:p>
      <w:r>
        <w:rPr>
          <w:color w:val="555555"/>
          <w:sz w:val="18"/>
        </w:rPr>
        <w:t xml:space="preserve">Bundeswahlordnung</w:t>
      </w:r>
    </w:p>
    <w:p>
      <w:r>
        <w:rPr>
          <w:color w:val="555555"/>
          <w:sz w:val="18"/>
        </w:rPr>
        <w:t xml:space="preserve">Stand: 20.09.2024 (konsolidierte Textfassung, kein amtliches Inkrafttretensdatum)</w:t>
      </w:r>
    </w:p>
    <w:p>
      <w:r>
        <w:t xml:space="preserve">(1) Die Gemeindebehörde bestimmt für jeden Wahlbezirk einen Wahlraum. Soweit möglich, stellen die Gemeinden Wahlräume in Gemeindegebäuden zur Verfügung. Die Wahlräume sollen nach den örtlichen Verhältnissen so ausgewählt und eingerichtet werden, dass allen Wahlberechtigten, insbesondere Menschen mit Behinderungen und anderen Menschen mit Mobilitätsbeeinträchtigung, die Teilnahme an der Wahl möglichst erleichtert wird. Die Gemeindebehörden teilen frühzeitig und in geeigneter Weise mit, welche Wahlräume barrierefrei sind.</w:t>
      </w:r>
    </w:p>
    <w:p>
      <w:r>
        <w:t xml:space="preserve">(2) In größeren Wahlbezirken, in denen sich die Wählerverzeichnisse teilen lassen, kann gleichzeitig in verschiedenen Gebäuden oder in verschiedenen Räumen desselben Gebäudes oder an verschiedenen Tischen des Wahlraumes gewählt werden; § 68 Absatz 2 gilt entsprechend. Für jeden Wahlraum oder Tisch wird ein Wahlvorstand gebildet. Sind mehrere Wahlvorstände in einem Wahlraum tätig, so bestimmt die Gemeindebehörde, welcher Vorstand für Ruhe und Ordnung im Wahlraum sorgt.</w:t>
      </w:r>
    </w:p>
    <w:p>
      <w:r>
        <w:rPr>
          <w:color w:val="555555"/>
          <w:sz w:val="17"/>
        </w:rPr>
        <w:t xml:space="preserve">Zitiervorschlag: § 46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