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BWO 1985 — Stimmzettel, Umschläge für die Briefwahl</w:t>
      </w:r>
    </w:p>
    <w:p>
      <w:r>
        <w:rPr>
          <w:color w:val="555555"/>
          <w:sz w:val="18"/>
        </w:rPr>
        <w:t xml:space="preserve">Bundeswahlordnung</w:t>
      </w:r>
    </w:p>
    <w:p>
      <w:r>
        <w:rPr>
          <w:color w:val="555555"/>
          <w:sz w:val="18"/>
        </w:rPr>
        <w:t xml:space="preserve">Stand: 20.09.2024 (konsolidierte Textfassung, kein amtliches Inkrafttretensdatum)</w:t>
      </w:r>
    </w:p>
    <w:p>
      <w:r>
        <w:t xml:space="preserve">(1) Der Stimmzettel ist mindestens 21 x 29,7 cm (DIN A4) groß und aus weißem oder weißlichem Papier. Das Papier muss so beschaffen sein, dass nach Kennzeichnung und Faltung durch den Wähler andere Personen nicht erkennen können, wie er gewählt hat. Der Stimmzettel enthält nach dem Muster der Anlage 26 je in der Reihenfolge und unter der Nummer ihrer Bekanntmachung</w:t>
      </w:r>
    </w:p>
    <w:p>
      <w:pPr>
        <w:ind w:left="420"/>
      </w:pPr>
      <w:r>
        <w:t xml:space="preserve">1. für die Wahl im Wahlkreis in schwarzem Druck die zugelassenen Kreiswahlvorschläge unter Angabe des Familiennamens, Vornamens, Berufs oder Standes und des Wohnortes (Hauptwohnung) des Bewerbers sowie des Namens der Partei, sofern sie eine Kurzbezeichnung und Zusatzbezeichnung verwendet, auch diese, oder des Kennworts bei anderen Kreiswahlvorschlägen (§ 20 Abs. 3 des Bundeswahlgesetzes) und rechts von dem Namen jedes Bewerbers einen Kreis für die Kennzeichnung; bei einem Nachweis nach § 38 Satz 5 ist anstelle des Wohnortes (Hauptwohnung) der Ort der Erreichbarkeitsanschrift anzugeben,</w:t>
      </w:r>
    </w:p>
    <w:p>
      <w:pPr>
        <w:ind w:left="420"/>
      </w:pPr>
      <w:r>
        <w:t xml:space="preserve">2. für die Wahl nach Landeslisten in blauem Druck die zugelassenen Landeslisten unter Angabe des Namens der Partei, sofern sie eine Kurzbezeichnung und Zusatzbezeichnung verwendet, auch diese, sowie der Familiennamen und Vornamen der ersten fünf Bewerber und links von der Parteibezeichnung einen Kreis für die Kennzeichnung.</w:t>
      </w:r>
    </w:p>
    <w:p>
      <w:r>
        <w:t xml:space="preserve">Zusätzlich können nur ein eingetragener Doktorgrad (§ 5 Absatz 2 Nummer 3 des Personalausweisgesetzes, § 4 Absatz 1 Satz 2 Nummer 3 des Passgesetzes) und ein eingetragener Ordens- oder Künstlername (§ 5 Absatz 2 Nummer 12 des Personalausweisgesetzes, § 4 Absatz 1 Satz 2 Nummer 4 des Passgesetzes) angegeben werden. Familiennamen sind vollständig anzugeben. Bei mehreren Vornamen kann ein Rufname bestimmt werden. Jeder Wahlkreisbewerber und jede Landesliste erhält ein abgegrenztes Feld. Die Stimmzettel müssen in jedem Wahlbezirk von gleicher Farbe und Beschaffenheit sein.</w:t>
      </w:r>
    </w:p>
    <w:p>
      <w:r>
        <w:t xml:space="preserve">(2) Zur Verwendung von Stimmzettelschablonen wird die rechte obere Ecke des Stimmzettels gelocht oder abgeschnitten. Muster der Stimmzettel werden unverzüglich nach ihrer Fertigstellung den Blindenvereinen, die ihre Bereitschaft zur Herstellung von Stimmzettelschablonen erklärt haben, zur Verfügung gestellt.</w:t>
      </w:r>
    </w:p>
    <w:p>
      <w:r>
        <w:t xml:space="preserve">(3) Die Stimmzettelumschläge für die Briefwahl sollen weiß, blickdicht und nach dem Muster der Anlage 10 beschriftet sein. Bei zeitgleicher Durchführung von Wahlen oder Abstimmungen dürfen die Stimmzettelumschläge der Bundestagswahl nicht für die anderen Wahlen oder Abstimmungen mitbenutzt werden. Die Stimmzettelumschläge der Bundestagswahl sollen sich von Stimmzettelumschlägen zeitgleicher Wahlen oder Abstimmungen farblich unterscheiden. Ist eine farbliche Unterscheidung nicht möglich, sind Unterscheidungsmerkmale auf den Stimmzettelumschlägen der Bundestagswahl anzubringen.</w:t>
      </w:r>
    </w:p>
    <w:p>
      <w:r>
        <w:t xml:space="preserve">(4) Die Wahlbriefumschläge sollen hellrot und nach dem Muster der Anlage 11 beschriftet sein. Bei zeitgleicher Durchführung von Wahlen oder Abstimmungen dürfen die Wahlbriefumschläge der Bundestagswahl mitbenutzt werden; § 50 Absatz 2 Satz 2 des Bundeswahlgesetzes gilt entsprechend.</w:t>
      </w:r>
    </w:p>
    <w:p>
      <w:r>
        <w:t xml:space="preserve">(5) Schriftart, Schriftgröße und Kontrast sollen so gewählt werden, dass die Lesbarkeit erleichtert wird.</w:t>
      </w:r>
    </w:p>
    <w:p>
      <w:r>
        <w:t xml:space="preserve">(6) Der Kreiswahlleiter weist den Gemeindebehörden die Stimmzettel zur Weitergabe an die Wahlvorsteher zu. Er liefert den Gemeindebehörden die erforderlichen Wahlbriefumschläge und Stimmzettelumschläge für die Briefwahl.</w:t>
      </w:r>
    </w:p>
    <w:p>
      <w:r>
        <w:rPr>
          <w:color w:val="555555"/>
          <w:sz w:val="17"/>
        </w:rPr>
        <w:t xml:space="preserve">Zitiervorschlag: § 45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