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BWO 1985 — Bildung der Wahlausschüsse</w:t>
      </w:r>
    </w:p>
    <w:p>
      <w:r>
        <w:rPr>
          <w:color w:val="555555"/>
          <w:sz w:val="18"/>
        </w:rPr>
        <w:t xml:space="preserve">Bundeswahlordnung</w:t>
      </w:r>
    </w:p>
    <w:p>
      <w:r>
        <w:rPr>
          <w:color w:val="555555"/>
          <w:sz w:val="18"/>
        </w:rPr>
        <w:t xml:space="preserve">Stand: 10.06.2019 (konsolidierte Textfassung, kein amtliches Inkrafttretensdatum)</w:t>
      </w:r>
    </w:p>
    <w:p>
      <w:r>
        <w:t xml:space="preserve">(1) Der Bundeswahlleiter, die Landeswahlleiter und die Kreiswahlleiter berufen alsbald nach der Bestimmung des Tages der Hauptwahl die Beisitzer der Wahlausschüsse und für jeden Beisitzer einen Stellvertreter. Die Beisitzer der Landeswahlausschüsse und der Kreiswahlausschüsse sind aus den Wahlberechtigten des jeweiligen Gebietes zu berufen; sie sollen möglichst am Sitz des Wahlleiters wohnen.</w:t>
      </w:r>
    </w:p>
    <w:p>
      <w:r>
        <w:t xml:space="preserve">(2) Bei der Auswahl der Beisitzer der Wahlausschüsse sollen in der Regel die Parteien in der Reihenfolge der bei der letzten Bundestagswahl in dem jeweiligen Gebiet errungenen Zahlen der Zweitstimmen angemessen berücksichtigt und die von ihnen rechtzeitig vorgeschlagenen Wahlberechtigten berufen werden.</w:t>
      </w:r>
    </w:p>
    <w:p>
      <w:r>
        <w:t xml:space="preserve">(3) Der Bundeswahlleiter beruft zwei Richter des Bundesverwaltungsgerichts, die Landeswahlleiter berufen je zwei Richter des Oberverwaltungsgerichts des Landes und jeweils einen Stellvertreter. Die Berufung erfolgt auf Vorschlag des Gerichtspräsidenten. Die Vorschriften über die Beisitzer der Wahlausschüsse in § 11 Absatz 1 des Bundeswahlgesetzes sowie in den §§ 5 und 10 dieser Verordnung gelten entsprechend.</w:t>
      </w:r>
    </w:p>
    <w:p>
      <w:r>
        <w:t xml:space="preserve">(4) Die Wahlausschüsse bestehen auch nach der Hauptwahl, längstens bis zum Ablauf der Wahlperiode, fort.</w:t>
      </w:r>
    </w:p>
    <w:p>
      <w:r>
        <w:rPr>
          <w:color w:val="555555"/>
          <w:sz w:val="17"/>
        </w:rPr>
        <w:t xml:space="preserve">Zitiervorschlag: § 4 BWO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https://recht.nulegal.eu/gesetze/BWO%201985/4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