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BWO 1985 — Bekanntmachung der Kreiswahlvorschläge</w:t>
      </w:r>
    </w:p>
    <w:p>
      <w:r>
        <w:rPr>
          <w:color w:val="555555"/>
          <w:sz w:val="18"/>
        </w:rPr>
        <w:t xml:space="preserve">Bundeswahlordnung</w:t>
      </w:r>
    </w:p>
    <w:p>
      <w:r>
        <w:rPr>
          <w:color w:val="555555"/>
          <w:sz w:val="18"/>
        </w:rPr>
        <w:t xml:space="preserve">Stand: 20.09.2024 (konsolidierte Textfassung, kein amtliches Inkrafttretensdatum)</w:t>
      </w:r>
    </w:p>
    <w:p>
      <w:r>
        <w:t xml:space="preserve">Der Kreiswahlleiter stellt vor der öffentlichen Bekanntmachung der zugelassenen Kreiswahlvorschläge den Bedingungseintritt des § 26 Absatz 1 Satz 3 des Bundeswahlgesetzes nach dem Muster der Anlage 19a fest. Er ordnet die zugelassenen Kreiswahlvorschläge unter fortlaufenden Nummern in der Reihenfolge, wie sie durch § 30 Abs. 3 Satz 3 und 4 des Bundeswahlgesetzes und durch die Mitteilung des Landeswahlleiters nach § 43 Abs. 2 bestimmt ist, und macht sie öffentlich bekannt. Parteien, für die eine Landesliste, aber kein Kreiswahlvorschlag zugelassen ist, erhalten eine Leernummer. Die Bekanntmachung enthält für jeden Kreiswahlvorschlag die in § 34 Abs. 1 Satz 2 bezeichneten Angaben; statt des Geburtsdatums ist jedoch jeweils nur das Geburtsjahr und statt der Anschrift nur der Wohnort (Ort der Hauptwohnung) des Bewerbers anzugeben. Weist ein Bewerber bis zum Ablauf der Einreichungsfrist gegenüber dem Kreiswahlleiter nach, dass für ihn im Melderegister eine Auskunftssperre gemäß § 51 Absatz 1 des Bundesmeldegesetzes eingetragen ist, ist anstelle seines Wohnortes der Ort seiner Erreichbarkeitsanschrift zu verwenden; die Angabe eines Postfachs genügt nicht. Der Kreiswahlleiter unterrichtet unverzüglich den Landeswahlleiter und den Bundeswahlleiter über die Erreichbarkeitsanschrift. Der Bundeswahlleiter veröffentlicht den Inhalt der öffentlichen Bekanntmachungen der Kreiswahlleiter im Wahlgebiet.</w:t>
      </w:r>
    </w:p>
    <w:p>
      <w:r>
        <w:rPr>
          <w:color w:val="555555"/>
          <w:sz w:val="17"/>
        </w:rPr>
        <w:t xml:space="preserve">Zitiervorschlag: § 38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BWO 1985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