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BWO 1985 — Beschwerde gegen Entscheidungen des Kreiswahlausschusses</w:t>
      </w:r>
    </w:p>
    <w:p>
      <w:r>
        <w:rPr>
          <w:color w:val="555555"/>
          <w:sz w:val="18"/>
        </w:rPr>
        <w:t xml:space="preserve">Bundeswahlordnung</w:t>
      </w:r>
    </w:p>
    <w:p>
      <w:r>
        <w:rPr>
          <w:color w:val="555555"/>
          <w:sz w:val="18"/>
        </w:rPr>
        <w:t xml:space="preserve">Stand: 20.09.2024 (konsolidierte Textfassung, kein amtliches Inkrafttretensdatum)</w:t>
      </w:r>
    </w:p>
    <w:p>
      <w:r>
        <w:t xml:space="preserve">(1) Die Beschwerde gegen eine Entscheidung des Kreiswahlausschusses ist schriftlich oder zur Niederschrift beim Kreiswahlleiter einzulegen. Der Bundeswahlleiter hat seine Beschwerde beim Kreiswahlleiter, der Kreiswahlleiter seine Beschwerde beim Landeswahlleiter einzulegen. Die Schriftform gilt auch durch Telefax als gewahrt. Der Kreiswahlleiter unterrichtet unverzüglich den Landeswahlleiter und den Bundeswahlleiter über die eingegangenen Beschwerden und verfährt nach den Anweisungen des Landeswahlleiters.</w:t>
      </w:r>
    </w:p>
    <w:p>
      <w:r>
        <w:t xml:space="preserve">(2) Der Landeswahlleiter lädt die Beschwerdeführer, die Vertrauenspersonen der betroffenen Kreiswahlvorschläge sowie den Kreiswahlleiter und den Bundeswahlleiter zu der Sitzung, in der über die Beschwerde entschieden wird. Den Vertrauenspersonen ist Gelegenheit zur Äußerung zu geben.</w:t>
      </w:r>
    </w:p>
    <w:p>
      <w:r>
        <w:t xml:space="preserve">(3) Der Landeswahlleiter gibt die Entscheidung des Landeswahlausschusses in der Sitzung im Anschluss an die Beschlussfassung unter kurzer Angabe der Gründe bekannt und teilt sie sofort dem Bundeswahlleiter mit.</w:t>
      </w:r>
    </w:p>
    <w:p>
      <w:r>
        <w:rPr>
          <w:color w:val="555555"/>
          <w:sz w:val="17"/>
        </w:rPr>
        <w:t xml:space="preserve">Zitiervorschlag: § 37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