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32 BWO 1985 — Aufforderung zur Einreichung von Wahlvorschlägen</w:t>
      </w:r>
    </w:p>
    <w:p>
      <w:r>
        <w:rPr>
          <w:color w:val="555555"/>
          <w:sz w:val="18"/>
        </w:rPr>
        <w:t xml:space="preserve">Bundeswahlordnung</w:t>
      </w:r>
    </w:p>
    <w:p>
      <w:r>
        <w:rPr>
          <w:color w:val="555555"/>
          <w:sz w:val="18"/>
        </w:rPr>
        <w:t xml:space="preserve">Stand: 10.06.2019 (konsolidierte Textfassung, kein amtliches Inkrafttretensdatum)</w:t>
      </w:r>
    </w:p>
    <w:p>
      <w:r>
        <w:t xml:space="preserve">Nachdem der Wahltag bestimmt ist, fordern die Kreis- und Landeswahlleiter durch öffentliche Bekanntmachung zur möglichst frühzeitigen Einreichung der Wahlvorschläge auf und weisen auf die Voraussetzungen für die Einreichung von Wahlvorschlägen nach § 18 Abs. 2 des Bundeswahlgesetzes hin. Sie geben bekannt, wo und bis zu welchem Zeitpunkt die Anzeigen nach § 18 Abs. 2 des Bundeswahlgesetzes und die Wahlvorschläge eingereicht werden müssen und weisen auf die Bestimmungen über Inhalt und Form der Wahlvorschläge, auf die Zahl der in bestimmten Fällen beizubringenden Unterschriften und Nachweise sowie auf die mit den Wahlvorschlägen vorzulegenden Erklärungen, Niederschriften und Versicherungen hin (§§ 20, 21 und 27 des Bundeswahlgesetzes).</w:t>
      </w:r>
    </w:p>
    <w:p>
      <w:r>
        <w:rPr>
          <w:color w:val="555555"/>
          <w:sz w:val="17"/>
        </w:rPr>
        <w:t xml:space="preserve">Zitiervorschlag: § 32 BWO 1985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https://recht.nulegal.eu/gesetze/BWO%201985/32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