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BWO 1985 — Kreiswahlleiter</w:t>
      </w:r>
    </w:p>
    <w:p>
      <w:r>
        <w:rPr>
          <w:color w:val="555555"/>
          <w:sz w:val="18"/>
        </w:rPr>
        <w:t xml:space="preserve">Bundeswahlordnung</w:t>
      </w:r>
    </w:p>
    <w:p>
      <w:r>
        <w:rPr>
          <w:color w:val="555555"/>
          <w:sz w:val="18"/>
        </w:rPr>
        <w:t xml:space="preserve">Stand: 10.06.2019 (konsolidierte Textfassung, kein amtliches Inkrafttretensdatum)</w:t>
      </w:r>
    </w:p>
    <w:p>
      <w:r>
        <w:t xml:space="preserve">(1) Die Kreiswahlleiter und deren Stellvertreter werden vor jeder Wahl ernannt. Die Ernennung erfolgt zu dem Termin, zu dem nach § 21 Absatz 3 des Bundeswahlgesetzes die Vertreterversammlungen zur Aufstellung von Wahlkreisbewerbern frühestens stattfinden dürfen, spätestens alsbald nach der Bestimmung des Tages der Hauptwahl. Die ernennende Stelle teilt die Namen und Anschriften ihrer Dienststellen mit Telekommunikationsanschlüssen dem Landeswahlleiter und dem Bundeswahlleiter mit und macht sie öffentlich bekannt.</w:t>
      </w:r>
    </w:p>
    <w:p>
      <w:r>
        <w:t xml:space="preserve">(2) Die Kreiswahlleiter und deren Stellvertreter üben ihr Amt auch nach der Hauptwahl, längstens bis zum Ablauf der Wahlperiode, aus.</w:t>
      </w:r>
    </w:p>
    <w:p>
      <w:r>
        <w:rPr>
          <w:color w:val="555555"/>
          <w:sz w:val="17"/>
        </w:rPr>
        <w:t xml:space="preserve">Zitiervorschlag: § 3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