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 BWO 1985 — Wahlscheinanträge</w:t>
      </w:r>
    </w:p>
    <w:p>
      <w:r>
        <w:rPr>
          <w:color w:val="555555"/>
          <w:sz w:val="18"/>
        </w:rPr>
        <w:t xml:space="preserve">Bundeswahlordnung</w:t>
      </w:r>
    </w:p>
    <w:p>
      <w:r>
        <w:rPr>
          <w:color w:val="555555"/>
          <w:sz w:val="18"/>
        </w:rPr>
        <w:t xml:space="preserve">Stand: 20.09.2024 (konsolidierte Textfassung, kein amtliches Inkrafttretensdatum)</w:t>
      </w:r>
    </w:p>
    <w:p>
      <w:r>
        <w:t xml:space="preserve">(1) Die Erteilung eines Wahlscheines kann schriftlich oder mündlich bei der Gemeindebehörde beantragt werden. Die Schriftform gilt auch durch Telefax, E-Mail oder durch sonstige dokumentierbare elektronische Übermittlung als gewahrt. Eine telefonische Antragstellung ist unzulässig. Ein Wahlberechtigter mit Behinderungen kann sich bei der Antragstellung der Hilfe einer anderen Person bedienen; § 57 gilt entsprechend.</w:t>
      </w:r>
    </w:p>
    <w:p>
      <w:r>
        <w:t xml:space="preserve">(2) Der Antragsteller muss den Familiennamen, die Vornamen, das Geburtsdatum und seine Wohnanschrift (Straße, Hausnummer, Postleitzahl, Ort) angeben.</w:t>
      </w:r>
    </w:p>
    <w:p>
      <w:r>
        <w:t xml:space="preserve">(3) Wer den Antrag für einen anderen stellt, muss durch Vorlage einer schriftlichen Vollmacht nachweisen, dass er dazu berechtigt ist.</w:t>
      </w:r>
    </w:p>
    <w:p>
      <w:r>
        <w:t xml:space="preserve">(4) Wahlscheine können bis zum zweiten Tage vor der Wahl, 15.00 Uhr, beantragt werden. In den Fällen des § 25 Abs. 2 können Wahlscheine noch bis zum Wahltage, 15.00 Uhr, beantragt werden. Gleiches gilt, wenn bei nachgewiesener plötzlicher Erkrankung der Wahlraum nicht oder nur unter nicht zumutbaren Schwierigkeiten aufgesucht werden kann; in diesem Fall hat die Gemeindebehörde vor Erteilung des Wahlscheines den für den Wahlbezirk des Wahlberechtigten zuständigen Wahlvorsteher davon zu unterrichten, der entsprechend § 53 Abs. 2 zu verfahren hat.</w:t>
      </w:r>
    </w:p>
    <w:p>
      <w:r>
        <w:t xml:space="preserve">(5) Bei Wahlberechtigten, die nach § 16 Abs. 2 nur auf Antrag in das Wählerverzeichnis eingetragen werden, gilt der Antrag zugleich als Antrag auf Erteilung eines Wahlscheines, es sei denn, der Wahlberechtigte will vor dem Wahlvorstand seines Wahlbezirks wählen.</w:t>
      </w:r>
    </w:p>
    <w:p>
      <w:r>
        <w:t xml:space="preserve">(6) Verspätet eingegangene schriftliche Anträge sind unbearbeitet mit den dazugehörigen Briefumschlägen zu verpacken und vorläufig aufzubewahren.</w:t>
      </w:r>
    </w:p>
    <w:p>
      <w:r>
        <w:rPr>
          <w:color w:val="555555"/>
          <w:sz w:val="17"/>
        </w:rPr>
        <w:t xml:space="preserve">Zitiervorschlag: § 27 BWO 1985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https://recht.nulegal.eu/gesetze/BWO%201985/27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