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BWO 1985 — Voraussetzungen für die Erteilung von Wahlscheinen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Wahlberechtigter, der in das Wählerverzeichnis eingetragen ist, erhält auf Antrag einen Wahlschein.</w:t>
      </w:r>
    </w:p>
    <w:p>
      <w:r>
        <w:t xml:space="preserve">(2) Ein Wahlberechtigter, der nicht in das Wählerverzeichnis eingetragen ist, erhält auf Antrag einen Wahlschein,</w:t>
      </w:r>
    </w:p>
    <w:p>
      <w:pPr>
        <w:ind w:left="420"/>
      </w:pPr>
      <w:r>
        <w:t xml:space="preserve">1. wenn er nachweist, dass er ohne Verschulden die Antragsfrist nach § 18 Abs. 1 oder die Einspruchsfrist nach § 22 Abs. 1 versäumt hat,</w:t>
      </w:r>
    </w:p>
    <w:p>
      <w:pPr>
        <w:ind w:left="420"/>
      </w:pPr>
      <w:r>
        <w:t xml:space="preserve">2. wenn sein Recht auf Teilnahme an der Wahl erst nach Ablauf der Fristen nach § 18 Abs. 1 oder § 22 Abs. 1 entstanden ist,</w:t>
      </w:r>
    </w:p>
    <w:p>
      <w:pPr>
        <w:ind w:left="420"/>
      </w:pPr>
      <w:r>
        <w:t xml:space="preserve">3. wenn sein Wahlrecht im Einspruchsverfahren festgestellt worden und die Feststellung erst nach Abschluss des Wählerverzeichnisses zur Kenntnis der Gemeindebehörde gelangt ist.</w:t>
      </w:r>
    </w:p>
    <w:p>
      <w:r>
        <w:rPr>
          <w:color w:val="555555"/>
          <w:sz w:val="17"/>
        </w:rPr>
        <w:t xml:space="preserve">Zitiervorschlag: § 25 BWO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BWO 1985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