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BWKAuslG</w:t>
      </w:r>
    </w:p>
    <w:p>
      <w:r>
        <w:rPr>
          <w:color w:val="555555"/>
          <w:sz w:val="18"/>
        </w:rPr>
        <w:t xml:space="preserve">Bundesgesetz zur Wiedergutmachung nationalsozialistischen Unrechts in der Kriegsopferversorgung für Berechtigte im Ausland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Dieses Gesetz tritt mit Wirkung vom 1. Oktober 1950 in Kraft.</w:t>
      </w:r>
    </w:p>
    <w:p>
      <w:r>
        <w:t xml:space="preserve">(2) Mit dem gleichen Zeitpunkt werden die im Geltungsbereich dieses Gesetzes geltenden Rechtsvorschriften und Verwaltungsanordnungen über die Wiedergutmachung nationalsozialistischen Unrechts, soweit sie die Kriegsopferversorgung nach diesem Gesetz betreffen, außer Kraft gesetzt.</w:t>
      </w:r>
    </w:p>
    <w:p>
      <w:r>
        <w:rPr>
          <w:color w:val="555555"/>
          <w:sz w:val="17"/>
        </w:rPr>
        <w:t xml:space="preserve">Zitiervorschlag: § 13 BWKAuslG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https://recht.nulegal.eu/gesetze/BWKAuslG/13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