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BWFSPrV</w:t>
      </w:r>
    </w:p>
    <w:p>
      <w:r>
        <w:rPr>
          <w:color w:val="555555"/>
          <w:sz w:val="18"/>
        </w:rPr>
        <w:t xml:space="preserve">Bundeswehrfachschulprüfungsverordnung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10a Absatz 1 und 3 des Soldatenversorgungsgesetzes in der Fassung der Bekanntmachung vom 16. September 2009 (BGBl. I S. 3054) verordnet die Bundesregierung:</w:t>
      </w:r>
    </w:p>
    <w:p>
      <w:r>
        <w:rPr>
          <w:color w:val="555555"/>
          <w:sz w:val="17"/>
        </w:rPr>
        <w:t xml:space="preserve">Zitiervorschlag: Eingangsformel BWFSPrV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https://recht.nulegal.eu/gesetze/BWFSPrV/eingangsformel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