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BWFSPrV — Bestandteile, Zeitpunkt und Organisation der Prüfung</w:t>
      </w:r>
    </w:p>
    <w:p>
      <w:r>
        <w:rPr>
          <w:color w:val="555555"/>
          <w:sz w:val="18"/>
        </w:rPr>
        <w:t xml:space="preserve">Bundeswehrfachschulprüfungsverordnung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 besteht aus einem schriftlichen und einem mündlichen Teil (§§ 11 und 14).</w:t>
      </w:r>
    </w:p>
    <w:p>
      <w:r>
        <w:t xml:space="preserve">(2) Die Prüfung findet am Ende des letzten Halbjahrs eines Lehrgangs, der zu einem Abschluss nach § 1 führt (Prüfungshalbjahr), an der Bundeswehrfachschule statt.</w:t>
      </w:r>
    </w:p>
    <w:p>
      <w:r>
        <w:t xml:space="preserve">(3) Für die Organisation der Prüfung ist die Schulleiterin oder der Schulleiter zuständig.</w:t>
      </w:r>
    </w:p>
    <w:p>
      <w:r>
        <w:rPr>
          <w:color w:val="555555"/>
          <w:sz w:val="17"/>
        </w:rPr>
        <w:t xml:space="preserve">Zitiervorschlag: § 3 BWFSPrV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https://recht.nulegal.eu/gesetze/BWFSPrV/3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