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BWFSPrV — Täuschung, Ordnungsverstoß</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Prüflingen, die bei der Prüfung täuschen, eine Täuschung versuchen, daran mitwirken oder sonst gegen die Ordnung verstoßen, soll die Fortsetzung der Prüfung unter dem Vorbehalt einer abweichenden Entscheidung des Prüfungsausschusses gestattet werden. Der Prüfungsausschuss kann je nach Schwere des Verstoßes die Wiederholung der gesamten Prüfung oder einzelner Prüfungsteile anordnen, die Prüfungsleistung mit „ungenügend“ bewerten oder die gesamte Prüfung für nicht bestanden erklären. Bei einem erheblichen Verstoß kann der Prüfling von der weiteren Teilnahme an der gesamten Prüfung ausgeschlossen werden. Wird ein Prüfling ausgeschlossen, gilt die Prüfung als nicht bestanden.</w:t>
      </w:r>
    </w:p>
    <w:p>
      <w:r>
        <w:t xml:space="preserve">(2) Über das Vorliegen und die unmittelbaren Folgen eines Ordnungsverstoßes während der schriftlichen Abschlussprüfung entscheidet die Schulleiterin oder der Schulleiter. Ist diese nicht erreichbar, entscheidet die aufsichtführende Lehrkraft. Bei einem erheblichen Verstoß kann der Prüfling durch die Schulleiterin oder den Schulleiter ohne Befassung des Prüfungsausschusses von der weiteren Teilnahme an der gesamten Abschlussprüfung ausgeschlossen werden. Die Entscheidung ist zu dokumentieren.</w:t>
      </w:r>
    </w:p>
    <w:p>
      <w:r>
        <w:t xml:space="preserve">(3) Über das Vorliegen und die unmittelbaren Folgen eines Ordnungsverstoßes während der mündlichen Abschlussprüfung entscheidet der Prüfungsausschuss. Die Entscheidung ist zu dokumentieren.</w:t>
      </w:r>
    </w:p>
    <w:p>
      <w:r>
        <w:t xml:space="preserve">(4) Wird eine Täuschung erst nach dem Ende der mündlichen Abschlussprüfung festgestellt, kann die Schulaufsichtsbehörde der Bundeswehrverwaltung im Einvernehmen mit der obersten Schulbehörde des Landes, in dem die Bundeswehrfachschule ihren Sitz hat, die Prüfung innerhalb von fünf Jahren nach dem Tag der mündlichen Abschlussprüfung für nicht bestanden erklären.</w:t>
      </w:r>
    </w:p>
    <w:p>
      <w:r>
        <w:t xml:space="preserve">(5) Vor einer Entscheidung nach Absatz 1 oder Absatz 4 sind die Betroffenen anzuhören.</w:t>
      </w:r>
    </w:p>
    <w:p>
      <w:r>
        <w:rPr>
          <w:color w:val="555555"/>
          <w:sz w:val="17"/>
        </w:rPr>
        <w:t xml:space="preserve">Zitiervorschlag: § 23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