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BWFSPrV — Aufgaben der mündlichen Abschlussprüfung</w:t>
      </w:r>
    </w:p>
    <w:p>
      <w:r>
        <w:rPr>
          <w:color w:val="555555"/>
          <w:sz w:val="18"/>
        </w:rPr>
        <w:t xml:space="preserve">Bundeswehrfachschulprüfungsverordnung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Prüfungsaufgabe, die zulässigen Hilfsmittel, den Erwartungshorizont und das Bewertungsschema soll die Fachlehrkraft festlegen, die das Fach der mündlichen Abschlussprüfung planmäßig unterrichtet hat.</w:t>
      </w:r>
    </w:p>
    <w:p>
      <w:r>
        <w:rPr>
          <w:color w:val="555555"/>
          <w:sz w:val="17"/>
        </w:rPr>
        <w:t xml:space="preserve">Zitiervorschlag: § 16 BWFSPrV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https://recht.nulegal.eu/gesetze/BWFSPrV/16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