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BWBayZwVStV (Bayern)</w:t>
      </w:r>
    </w:p>
    <w:p>
      <w:r>
        <w:rPr>
          <w:color w:val="555555"/>
          <w:sz w:val="18"/>
        </w:rPr>
        <w:t xml:space="preserve">Staatsvertrag zwischen dem Land Baden-Württemberg und dem Freistaat Bayern über Zweckverbände, öffentlich-rechtliche Vereinbarungen, kommunale Arbeitsgemeinschaften und Wasser- und Bodenverbände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Zweckverbände nach Artikel 1 gilt das Recht des Landes, in dem der Zweckverband seinen Sitz hat oder erhält.</w:t>
      </w:r>
    </w:p>
    <w:p>
      <w:r>
        <w:t xml:space="preserve">(2) Für öffentlich-rechtliche Vereinbarungen nach Artikel 1 gilt das Recht des Landes, dem die Körperschaft angehört, der durch die Vereinbarung die Erfüllung der Aufgabe und die Befugnisse dazu übertragen werden sollen oder übertragen sind. Für öffentlich-rechtliche Vereinbarungen nach Artikel 1, mit denen nicht die Befugnisse zur Erfüllung einer Aufgabe übertragen werden, gilt das Recht des Freistaates Bayern; erläßt auch das Land Baden-Württemberg Rechtsvorschriften über solche öffentlich-rechtlichen Vereinbarungen, bestimmen die Beteiligten in der Vereinbarung, welches Recht gilt.</w:t>
      </w:r>
    </w:p>
    <w:p>
      <w:r>
        <w:t xml:space="preserve">(3) Kommunale Arbeitsgemeinschaften nach Artikel 1 haben keine Rechtsfähigkeit. Sie fassen keine die Beteiligten bindenden Beschlüsse; die Zuständigkeit der Beteiligten bleibt unberührt. Im übrigen gilt für die kommunalen Arbeitsgemeinschaften das Recht des Freistaates Bayern mit Ausnahme der Artikel 5 bis 7 des Gesetzes über die kommunale Zusammenarbeit; erläßt auch das Land Baden-Württemberg Vorschriften über kommunale Arbeitsgemeinschaften, bestimmen die Beteiligten, welches Recht im übrigen gilt.</w:t>
      </w:r>
    </w:p>
    <w:p>
      <w:r>
        <w:rPr>
          <w:color w:val="555555"/>
          <w:sz w:val="17"/>
        </w:rPr>
        <w:t xml:space="preserve">Zitiervorschlag: Art 2 BWBayZwVStV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https://recht.nulegal.eu/gesetze/BWBayZwVStV/2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BWBayZwVStV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