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BWBayRPRSatStV (Bayern) — Inkrafttreten</w:t>
      </w:r>
    </w:p>
    <w:p>
      <w:r>
        <w:rPr>
          <w:color w:val="555555"/>
          <w:sz w:val="18"/>
        </w:rPr>
        <w:t xml:space="preserve">Staatsvertrag über die gemeinsame Nutzung eines Fernseh- und eines Hörfunkkanals auf Rundfunksatelliten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Staatsvertrag tritt eine Woche nach Austausch der Ratifikationsurkunden in Kraft.</w:t>
      </w:r>
    </w:p>
    <w:p>
      <w:r>
        <w:rPr>
          <w:color w:val="555555"/>
          <w:sz w:val="17"/>
        </w:rPr>
        <w:t xml:space="preserve">Zitiervorschlag: Art 16 BWBayRPRSatStV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https://recht.nulegal.eu/gesetze/BWBayRPRSatStV/16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