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BVwAG</w:t>
      </w:r>
    </w:p>
    <w:p>
      <w:r>
        <w:rPr>
          <w:color w:val="555555"/>
          <w:sz w:val="18"/>
        </w:rPr>
        <w:t xml:space="preserve">Gesetz über die Errichtung des Bundesverwaltungsamtes</w:t>
      </w:r>
    </w:p>
    <w:p>
      <w:r>
        <w:rPr>
          <w:color w:val="555555"/>
          <w:sz w:val="18"/>
        </w:rPr>
        <w:t xml:space="preserve">Stand: 01.07.2020 (konsolidierte Textfassung, kein amtliches Inkrafttretensdatum)</w:t>
      </w:r>
    </w:p>
    <w:p>
      <w:r>
        <w:t xml:space="preserve">Soweit im Bundesverwaltungsamt auf Grund des § 1 Abs. 2 oder Abs. 3 Aufgaben aus einem anderen Geschäftsbereich als dem des Bundesministers des Innern, für Bau und Heimat erledigt werden, steht das fachliche Weisungsrecht der sachlich zuständigen obersten Bundesbehörde zu.</w:t>
      </w:r>
    </w:p>
    <w:p>
      <w:r>
        <w:rPr>
          <w:color w:val="555555"/>
          <w:sz w:val="17"/>
        </w:rPr>
        <w:t xml:space="preserve">Zitiervorschlag: § 8 BVwAG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https://recht.nulegal.eu/gesetze/BVwAG/8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