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V. BVwADisRZustAnO</w:t>
      </w:r>
    </w:p>
    <w:p>
      <w:r>
        <w:rPr>
          <w:color w:val="555555"/>
          <w:sz w:val="18"/>
        </w:rPr>
        <w:t xml:space="preserve">Anordnung über die Übertragung von Zuständigkeiten auf dem Gebiet des Disziplinarrechts auf das Bundesverwaltungsamt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Anordnung tritt zugleich mit dem Gesetz über die Errichtung des Bundesverwaltungsamtes vom 28. Dezember 1959 (Bundesgesetzbl. I S. 829) in Kraft.</w:t>
      </w:r>
    </w:p>
    <w:p>
      <w:r>
        <w:rPr>
          <w:color w:val="555555"/>
          <w:sz w:val="17"/>
        </w:rPr>
        <w:t xml:space="preserve">Zitiervorschlag: V. BVwADisRZustAnO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https://recht.nulegal.eu/gesetze/BVwADisRZustAnO/v.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V. BVwADisRZustAnO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