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BVormPrüfV (Brandenburg) — Schriftliche Prüfung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Prüfungen, deren Ablegung dem Abschluss einer</w:t>
      </w:r>
    </w:p>
    <w:p>
      <w:r>
        <w:t xml:space="preserve">Lehre im Sinne des § 1 Abs. 1 Satz 2 Nr. 1 des</w:t>
      </w:r>
    </w:p>
    <w:p>
      <w:r>
        <w:t xml:space="preserve">Berufsvormündervergütungsgesetzes gleichsteht, hat der Teilnehmer in</w:t>
      </w:r>
    </w:p>
    <w:p>
      <w:r>
        <w:t xml:space="preserve">einer Klausur innerhalb einer Bearbeitungszeit von vier Unterrichtsstunden</w:t>
      </w:r>
    </w:p>
    <w:p>
      <w:r>
        <w:t xml:space="preserve">Aufgaben aus den in § 7 Abs. 1 genannten Sachgebieten zu lösen. Die</w:t>
      </w:r>
    </w:p>
    <w:p>
      <w:r>
        <w:t xml:space="preserve">Aufgaben sollen überwiegend in Form einfacher Fälle der</w:t>
      </w:r>
    </w:p>
    <w:p>
      <w:r>
        <w:t xml:space="preserve">Vormundschafts- und Betreuungspraxis entnommen sein. Die Klausur ist</w:t>
      </w:r>
    </w:p>
    <w:p>
      <w:r>
        <w:t xml:space="preserve">erfolgreich bearbeitet, wenn drei Viertel der Aufgaben in vertretbarer Weise</w:t>
      </w:r>
    </w:p>
    <w:p>
      <w:r>
        <w:t xml:space="preserve">gelöst wurden.</w:t>
      </w:r>
    </w:p>
    <w:p>
      <w:r>
        <w:t xml:space="preserve">(2) In den Prüfungen, deren Ablegung dem Abschluss einer</w:t>
      </w:r>
    </w:p>
    <w:p>
      <w:r>
        <w:t xml:space="preserve">Ausbildung an einer Hochschule im Sinne des § 1 Abs. 1 Satz 2 Nr. 2</w:t>
      </w:r>
    </w:p>
    <w:p>
      <w:r>
        <w:t xml:space="preserve">des Berufsvormündervergütungsgesetzes gleichsteht, hat der Teilnehmer</w:t>
      </w:r>
    </w:p>
    <w:p>
      <w:r>
        <w:t xml:space="preserve">in drei Klausuren in einer Bearbeitungszeit von jeweils vier Unterrichtsstunden</w:t>
      </w:r>
    </w:p>
    <w:p>
      <w:r>
        <w:t xml:space="preserve">Aufgaben aus den in § 7 Abs. 1 genannten Sachgebieten zu lösen. Die</w:t>
      </w:r>
    </w:p>
    <w:p>
      <w:r>
        <w:t xml:space="preserve">Aufgaben sollen dem Teilnehmer vertiefte Kenntnisse auf diesen Sachgebieten</w:t>
      </w:r>
    </w:p>
    <w:p>
      <w:r>
        <w:t xml:space="preserve">abverlangen und überwiegend in Form komplexer Sachverhalte der</w:t>
      </w:r>
    </w:p>
    <w:p>
      <w:r>
        <w:t xml:space="preserve">Vormundschafts- und Betreuungspraxis entnommen sein. Die Prüfung ist</w:t>
      </w:r>
    </w:p>
    <w:p>
      <w:r>
        <w:t xml:space="preserve">bestanden, wenn zwei Klausuren erfolgreich im Sinne des Absatzes 1 Satz 3</w:t>
      </w:r>
    </w:p>
    <w:p>
      <w:r>
        <w:t xml:space="preserve">bearbeitet wurden.</w:t>
      </w:r>
    </w:p>
    <w:p>
      <w:r>
        <w:t xml:space="preserve">(3) Die Klausurarbeiten werden anonymisiert. Der</w:t>
      </w:r>
    </w:p>
    <w:p>
      <w:r>
        <w:t xml:space="preserve">Prüfungsausschuss kann Einzelheiten über die Art der Anonymisierung</w:t>
      </w:r>
    </w:p>
    <w:p>
      <w:r>
        <w:t xml:space="preserve">festlegen. Er kann auch bestimmen, welche Hilfsmittel zulässig sind. Die</w:t>
      </w:r>
    </w:p>
    <w:p>
      <w:r>
        <w:t xml:space="preserve">Teilnehmer haben sich die Hilfsmittel selbst zu beschaffen.</w:t>
      </w:r>
    </w:p>
    <w:p>
      <w:r>
        <w:rPr>
          <w:color w:val="555555"/>
          <w:sz w:val="17"/>
        </w:rPr>
        <w:t xml:space="preserve">Zitiervorschlag: § 9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