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BVormPrüfV (Brandenburg) — Täuschungshandlungen und Ordnungsverstöße</w:t>
      </w:r>
    </w:p>
    <w:p>
      <w:r>
        <w:rPr>
          <w:color w:val="555555"/>
          <w:sz w:val="18"/>
        </w:rPr>
        <w:t xml:space="preserve">Berufsvormünderprüfungsverordnung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Prüfungsteilnehmer, die sich einer</w:t>
      </w:r>
    </w:p>
    <w:p>
      <w:r>
        <w:t xml:space="preserve">Täuschungshandlung oder einer erheblichen Störung des</w:t>
      </w:r>
    </w:p>
    <w:p>
      <w:r>
        <w:t xml:space="preserve">Prüfungsablaufes schuldig machen, können von der Prüfung</w:t>
      </w:r>
    </w:p>
    <w:p>
      <w:r>
        <w:t xml:space="preserve">vorläufig ausgeschlossen werden.</w:t>
      </w:r>
    </w:p>
    <w:p>
      <w:r>
        <w:t xml:space="preserve">(2) Über den endgültigen Ausschluss und die Folgen</w:t>
      </w:r>
    </w:p>
    <w:p>
      <w:r>
        <w:t xml:space="preserve">entscheidet der Prüfungsausschuss nach Anhörung des</w:t>
      </w:r>
    </w:p>
    <w:p>
      <w:r>
        <w:t xml:space="preserve">Prüfungsteilnehmers. In schwerwiegenden Fällen, insbesondere bei</w:t>
      </w:r>
    </w:p>
    <w:p>
      <w:r>
        <w:t xml:space="preserve">Täuschungshandlungen, kann die Prüfung für nicht bestanden</w:t>
      </w:r>
    </w:p>
    <w:p>
      <w:r>
        <w:t xml:space="preserve">erklärt werden. Das Gleiche gilt bei innerhalb eines Jahres</w:t>
      </w:r>
    </w:p>
    <w:p>
      <w:r>
        <w:t xml:space="preserve">nachträglich festgestellten Täuschungen.</w:t>
      </w:r>
    </w:p>
    <w:p>
      <w:r>
        <w:rPr>
          <w:color w:val="555555"/>
          <w:sz w:val="17"/>
        </w:rPr>
        <w:t xml:space="preserve">Zitiervorschlag: § 11 BVormPrüfV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https://recht.nulegal.eu/gesetze/BVormPr%C3%BCfV/11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