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BVollzVergV</w:t>
      </w:r>
    </w:p>
    <w:p>
      <w:r>
        <w:rPr>
          <w:color w:val="555555"/>
          <w:sz w:val="18"/>
        </w:rPr>
        <w:t xml:space="preserve">Bundesvollziehungsvergütungsverordnung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Auf Grund des § 49 des Bundesbesoldungsgesetzes, der durch Artikel 1 Nummer 23 des Gesetzes vom 9. Dezember 2019 (BGBl. I S. 2053) neu gefasst worden ist, verordnet das Bundesministerium der Finanzen im Einvernehmen mit dem Bundesministerium des Innern, für Bau und Heimat:</w:t>
      </w:r>
    </w:p>
    <w:p>
      <w:r>
        <w:rPr>
          <w:color w:val="555555"/>
          <w:sz w:val="17"/>
        </w:rPr>
        <w:t xml:space="preserve">Zitiervorschlag: Eingangsformel BVollzVergV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https://recht.nulegal.eu/gesetze/BVollzVergV/eingangsformel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