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BVetrDBAnO 1985</w:t>
      </w:r>
    </w:p>
    <w:p>
      <w:r>
        <w:rPr>
          <w:color w:val="555555"/>
          <w:sz w:val="18"/>
        </w:rPr>
        <w:t xml:space="preserve">Allgemeine Anordnung über die Vertretung bei Klagen aus dem Beamtenverhältnis im Bereich der Deutschen Bundesbahn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Anordnung tritt am 1. Mai 1985 in Kraft.</w:t>
      </w:r>
    </w:p>
    <w:p>
      <w:r>
        <w:rPr>
          <w:color w:val="555555"/>
          <w:sz w:val="17"/>
        </w:rPr>
        <w:t xml:space="preserve">Zitiervorschlag: II. BVetrDBAnO 1985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https://recht.nulegal.eu/gesetze/BVetrDBAnO%201985/ii.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