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BVertrBMBAnO</w:t>
      </w:r>
    </w:p>
    <w:p>
      <w:r>
        <w:rPr>
          <w:color w:val="555555"/>
          <w:sz w:val="18"/>
        </w:rPr>
        <w:t xml:space="preserve">Anordnung über die Vertretung des Bundes im Geschäftsbereich des Bundesministers für innerdeutsche Beziehungen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durch Rechtsvorschriften des Bundes nichts anderes bestimmt ist, wird der Bund im Geschäftsbereich des Bundesministers für innerdeutsche Beziehungen wie folgt vertreten:</w:t>
      </w:r>
    </w:p>
    <w:p>
      <w:pPr>
        <w:ind w:left="420"/>
      </w:pPr>
      <w:r>
        <w:t xml:space="preserve">1. Vertretung in gerichtlichen und schiedsrichterlichen Verfahren</w:t>
      </w:r>
    </w:p>
    <w:p>
      <w:pPr>
        <w:ind w:left="780"/>
      </w:pPr>
      <w:r>
        <w:t xml:space="preserve">a) In Verfahren, die das Bundesministerium für innerdeutsche Beziehungen betreffen, ist der Bundesminister für innerdeutsche Beziehungen zur Vertretung berufen.</w:t>
      </w:r>
    </w:p>
    <w:p>
      <w:pPr>
        <w:ind w:left="780"/>
      </w:pPr>
      <w:r>
        <w:t xml:space="preserve">b) In Verfahren, die das Gesamtdeutsche Institut - Bundesanstalt für gesamtdeutsche Aufgaben - betreffen, ist der Präsident der Bundesanstalt für gesamtdeutsche Aufgaben zur Vertretung berufen.</w:t>
      </w:r>
    </w:p>
    <w:p>
      <w:pPr>
        <w:ind w:left="780"/>
      </w:pPr>
      <w:r>
        <w:t xml:space="preserve">c) Die Vertretung bleibt dem Bundesminister für innerdeutsche Beziehungen vorbehalten, wenn</w:t>
      </w:r>
    </w:p>
    <w:p>
      <w:pPr>
        <w:ind w:left="1140"/>
      </w:pPr>
      <w:r>
        <w:t xml:space="preserve">aa) der Bundesminister für innerdeutsche Beziehungen den zugrunde liegenden Vertrag selbst geschlossen hat,</w:t>
      </w:r>
    </w:p>
    <w:p>
      <w:pPr>
        <w:ind w:left="1140"/>
      </w:pPr>
      <w:r>
        <w:t xml:space="preserve">bb) eine Entscheidung des Bundesministers für innerdeutsche Beziehungen den Gegenstand des Rechtsstreits bildet,</w:t>
      </w:r>
    </w:p>
    <w:p>
      <w:pPr>
        <w:ind w:left="1140"/>
      </w:pPr>
      <w:r>
        <w:t xml:space="preserve">cc) der Präsident oder der Vizepräsident der Bundesanstalt für gesamtdeutsche Aufgaben persönlich beteiligt ist.</w:t>
      </w:r>
    </w:p>
    <w:p>
      <w:pPr>
        <w:ind w:left="420"/>
      </w:pPr>
      <w:r>
        <w:t xml:space="preserve">2. Vertretung in VerwaltungsverfahrenFür die Vertretung des Bundes in Verwaltungsverfahren gilt Nr. 1 entsprechend. § 174 des Bundesbeamtengesetzes und § 126 Abs. 3 des Beamtenrechtsrahmengesetzes bleiben jedoch unberührt.</w:t>
      </w:r>
    </w:p>
    <w:p>
      <w:pPr>
        <w:ind w:left="420"/>
      </w:pPr>
      <w:r>
        <w:t xml:space="preserve">3. Rechtsgeschäftliche VertretungBei Rechtsgeschäften wird der Bund - unbeschadet besonders angeordneter Beschränkungen - durch den Präsidenten der Bundesanstalt für gesamtdeutsche Aufgaben insoweit vertreten, als der Bundesanstalt nach § 27 Abs. 1 der Wirtschaftsbestimmungen für die Reichsbehörden die Befugnis zur Erteilung von Annahme- und Auszahlungsanordnungen übertragen ist. Im übrigen vertritt der Bundesminister für innerdeutsche Beziehungen den Bund. Dies gilt auch für Rechtsgeschäfte, die den Erwerb oder die Veräußerung eines Grundstückes zum Gegenstand haben.</w:t>
      </w:r>
    </w:p>
    <w:p>
      <w:pPr>
        <w:ind w:left="420"/>
      </w:pPr>
      <w:r>
        <w:t xml:space="preserve">4. Abweichende RegelungenDer Bundesminister für innerdeutsche Beziehungen kann im Einzelfall die Vertretung abweichend von dieser Anordnung regeln oder sie selbst übernehmen.</w:t>
      </w:r>
    </w:p>
    <w:p>
      <w:pPr>
        <w:ind w:left="420"/>
      </w:pPr>
      <w:r>
        <w:t xml:space="preserve">5. InkrafttretenDiese Anordnung tritt am Tage nach ihrer Veröffentlichung im Bundesanzeiger in Kraft.</w:t>
      </w:r>
    </w:p>
    <w:p>
      <w:r>
        <w:t xml:space="preserve">Der Bundesminister für innerdeutsche Beziehungen</w:t>
      </w:r>
    </w:p>
    <w:p>
      <w:r>
        <w:rPr>
          <w:color w:val="555555"/>
          <w:sz w:val="17"/>
        </w:rPr>
        <w:t xml:space="preserve">Zitiervorschlag: (XXXX) BVertrBMBAnO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https://recht.nulegal.eu/gesetze/BVertrBMBAnO/(xxxx)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