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BVersTG — Rückforderung</w:t>
      </w:r>
    </w:p>
    <w:p>
      <w:r>
        <w:rPr>
          <w:color w:val="555555"/>
          <w:sz w:val="18"/>
        </w:rPr>
        <w:t xml:space="preserve">Bundesversorgungsteilungsgesetz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Rückforderung zu viel gezahlter Leistungen gilt § 52 Abs. 2 bis 4 des Beamtenversorgungsgesetzes entsprechend.</w:t>
      </w:r>
    </w:p>
    <w:p>
      <w:r>
        <w:rPr>
          <w:color w:val="555555"/>
          <w:sz w:val="17"/>
        </w:rPr>
        <w:t xml:space="preserve">Zitiervorschlag: § 4 BVersTG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