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BVersTG — Anpassung</w:t>
      </w:r>
    </w:p>
    <w:p>
      <w:r>
        <w:rPr>
          <w:color w:val="555555"/>
          <w:sz w:val="18"/>
        </w:rPr>
        <w:t xml:space="preserve">Bundesversorgungsteilungsgesetz</w:t>
      </w:r>
    </w:p>
    <w:p>
      <w:r>
        <w:rPr>
          <w:color w:val="555555"/>
          <w:sz w:val="18"/>
        </w:rPr>
        <w:t xml:space="preserve">Stand: 10.01.2020 (konsolidierte Textfassung, kein amtliches Inkrafttretensdatum)</w:t>
      </w:r>
    </w:p>
    <w:p>
      <w:r>
        <w:t xml:space="preserve">(1) Der durch Entscheidung des Familiengerichts zugunsten der ausgleichsberechtigten Person festgesetzte oder sich in den Fällen des § 10 Absatz 2 des Versorgungsausgleichsgesetzes nach Verrechnung zugunsten der ausgleichsberechtigten Person ergebende monatliche Betrag erhöht oder vermindert sich um die Prozentsätze der nach dem Ende der Ehezeit bis zum Zeitpunkt des Eintritts der ausgleichspflichtigen Person in den Ruhestand eingetretenen Erhöhungen oder Verminderungen der Versorgungsbezüge nach dem Beamtenversorgungsgesetz, die in festen Beträgen festgesetzt sind.</w:t>
      </w:r>
    </w:p>
    <w:p>
      <w:r>
        <w:t xml:space="preserve">(2) Vom Zeitpunkt des Eintritts der ausgleichspflichtigen Person in den Ruhestand an oder, sofern sich die ausgleichspflichtige Person zum Zeitpunkt der Entscheidung des Familiengerichts bereits im Ruhestand befindet, vom ersten Tag des auf das Ende der Ehezeit folgenden Monats an erhöht oder vermindert sich der Betrag in dem Verhältnis, in dem sich das Ruhegehalt der ausgleichspflichtigen Person vor Anwendung von Ruhens-, Kürzungs- und Anrechnungsvorschriften durch Anpassung der Versorgungsbezüge erhöht oder vermindert. Gleiches gilt für die Zeit ab dem ersten Tag des auf den Tod der ausgleichspflichtigen Person folgenden Monats.</w:t>
      </w:r>
    </w:p>
    <w:p>
      <w:r>
        <w:t xml:space="preserve">(3) Handelt es sich um ein Anrecht nach dem Altersgeldgesetz, erhöht oder vermindert sich der Betrag nach den Absätzen 1 und 2 um die Prozentsätze, um die sich die altersgeldfähigen Dienstbezüge nach § 7 Absatz 4 des Altersgeldgesetzes erhöhen oder vermindern.</w:t>
      </w:r>
    </w:p>
    <w:p>
      <w:r>
        <w:t xml:space="preserve">(4) Hinterbliebene nach § 2 Absatz 2 erhalten den Betrag nach den Absätzen 1 bis 3 in entsprechender Anwendung der §§ 20, 24 und 25 Absatz 1 und 2 des Beamtenversorgungsgesetzes.</w:t>
      </w:r>
    </w:p>
    <w:p>
      <w:r>
        <w:rPr>
          <w:color w:val="555555"/>
          <w:sz w:val="17"/>
        </w:rPr>
        <w:t xml:space="preserve">Zitiervorschlag: § 3 BVersTG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